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00" w:lineRule="exact"/>
        <w:ind w:firstLine="720" w:firstLineChars="300"/>
        <w:rPr>
          <w:rStyle w:val="6"/>
          <w:rFonts w:ascii="宋体" w:hAnsi="宋体"/>
          <w:bCs/>
          <w:iCs/>
          <w:color w:val="000000"/>
          <w:sz w:val="24"/>
        </w:rPr>
      </w:pPr>
      <w:r>
        <w:rPr>
          <w:rStyle w:val="6"/>
          <w:rFonts w:ascii="宋体" w:hAnsi="宋体"/>
          <w:bCs/>
          <w:iCs/>
          <w:color w:val="000000"/>
          <w:sz w:val="24"/>
        </w:rPr>
        <w:t>证券代码：002332                  证券简称：仙琚制药</w:t>
      </w:r>
    </w:p>
    <w:p>
      <w:pPr>
        <w:spacing w:before="156" w:after="156" w:line="400" w:lineRule="exact"/>
        <w:ind w:firstLine="720" w:firstLineChars="300"/>
        <w:rPr>
          <w:rStyle w:val="6"/>
          <w:rFonts w:ascii="宋体" w:hAnsi="宋体"/>
          <w:bCs/>
          <w:iCs/>
          <w:color w:val="000000"/>
          <w:sz w:val="24"/>
        </w:rPr>
      </w:pPr>
    </w:p>
    <w:p>
      <w:pPr>
        <w:spacing w:before="156" w:after="156" w:line="400" w:lineRule="exact"/>
        <w:jc w:val="center"/>
        <w:rPr>
          <w:rStyle w:val="6"/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Style w:val="6"/>
          <w:rFonts w:ascii="宋体" w:hAnsi="宋体"/>
          <w:b/>
          <w:bCs/>
          <w:iCs/>
          <w:color w:val="000000"/>
          <w:sz w:val="32"/>
          <w:szCs w:val="32"/>
        </w:rPr>
        <w:t>浙江仙琚制药股份有限公司投资者关系活动记录表</w:t>
      </w:r>
    </w:p>
    <w:p>
      <w:pPr>
        <w:spacing w:line="400" w:lineRule="exact"/>
        <w:rPr>
          <w:rStyle w:val="6"/>
          <w:rFonts w:hint="eastAsia" w:ascii="宋体" w:hAnsi="宋体" w:eastAsia="宋体"/>
          <w:bCs/>
          <w:iCs/>
          <w:color w:val="FF0000"/>
          <w:sz w:val="24"/>
          <w:lang w:val="en-US" w:eastAsia="zh-CN"/>
        </w:rPr>
      </w:pPr>
      <w:r>
        <w:rPr>
          <w:rStyle w:val="6"/>
          <w:rFonts w:ascii="宋体" w:hAnsi="宋体"/>
          <w:bCs/>
          <w:iCs/>
          <w:color w:val="000000"/>
          <w:sz w:val="24"/>
        </w:rPr>
        <w:t xml:space="preserve">                                                      编号：20</w:t>
      </w:r>
      <w:r>
        <w:rPr>
          <w:rStyle w:val="6"/>
          <w:rFonts w:hint="eastAsia" w:ascii="宋体" w:hAnsi="宋体"/>
          <w:bCs/>
          <w:iCs/>
          <w:color w:val="000000"/>
          <w:sz w:val="24"/>
          <w:lang w:val="en-US" w:eastAsia="zh-CN"/>
        </w:rPr>
        <w:t>21</w:t>
      </w:r>
      <w:r>
        <w:rPr>
          <w:rStyle w:val="6"/>
          <w:rFonts w:ascii="宋体" w:hAnsi="宋体"/>
          <w:bCs/>
          <w:iCs/>
          <w:color w:val="000000"/>
          <w:sz w:val="24"/>
        </w:rPr>
        <w:t>-0</w:t>
      </w:r>
      <w:r>
        <w:rPr>
          <w:rStyle w:val="6"/>
          <w:rFonts w:ascii="宋体" w:hAnsi="宋体"/>
          <w:bCs/>
          <w:iCs/>
          <w:sz w:val="24"/>
        </w:rPr>
        <w:t>0</w:t>
      </w:r>
      <w:r>
        <w:rPr>
          <w:rStyle w:val="6"/>
          <w:rFonts w:hint="eastAsia" w:ascii="宋体" w:hAnsi="宋体"/>
          <w:bCs/>
          <w:iCs/>
          <w:sz w:val="24"/>
          <w:lang w:val="en-US" w:eastAsia="zh-CN"/>
        </w:rPr>
        <w:t>1</w:t>
      </w: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6"/>
                <w:rFonts w:ascii="宋体" w:hAnsi="宋体"/>
                <w:sz w:val="24"/>
              </w:rPr>
              <w:t xml:space="preserve">特定对象调研       </w:t>
            </w:r>
            <w:r>
              <w:rPr>
                <w:rStyle w:val="6"/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/>
                <w:sz w:val="24"/>
              </w:rPr>
              <w:t xml:space="preserve"> 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6"/>
                <w:rFonts w:ascii="宋体" w:hAnsi="宋体"/>
                <w:sz w:val="24"/>
              </w:rPr>
              <w:t>分析师会议</w:t>
            </w:r>
          </w:p>
          <w:p>
            <w:pPr>
              <w:spacing w:line="480" w:lineRule="atLeast"/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Style w:val="6"/>
                <w:rFonts w:ascii="宋体" w:hAnsi="宋体"/>
                <w:sz w:val="24"/>
              </w:rPr>
              <w:t xml:space="preserve">媒体采访           </w:t>
            </w:r>
            <w:r>
              <w:rPr>
                <w:rStyle w:val="6"/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/>
                <w:sz w:val="24"/>
              </w:rPr>
              <w:t xml:space="preserve"> 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6"/>
                <w:rFonts w:ascii="宋体" w:hAnsi="宋体"/>
                <w:sz w:val="24"/>
              </w:rPr>
              <w:t>业绩说明会</w:t>
            </w:r>
          </w:p>
          <w:p>
            <w:pPr>
              <w:spacing w:line="480" w:lineRule="atLeast"/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6"/>
                <w:rFonts w:ascii="宋体" w:hAnsi="宋体"/>
                <w:sz w:val="24"/>
              </w:rPr>
              <w:t xml:space="preserve">新闻发布会         </w:t>
            </w:r>
            <w:r>
              <w:rPr>
                <w:rStyle w:val="6"/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/>
                <w:sz w:val="24"/>
              </w:rPr>
              <w:t xml:space="preserve"> 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6"/>
                <w:rFonts w:ascii="宋体" w:hAnsi="宋体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6"/>
                <w:rFonts w:ascii="宋体" w:hAnsi="宋体"/>
                <w:sz w:val="24"/>
              </w:rPr>
              <w:t>现场参观</w:t>
            </w:r>
            <w:r>
              <w:rPr>
                <w:rStyle w:val="6"/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  <w:highlight w:val="none"/>
              </w:rPr>
              <w:sym w:font="Wingdings 2" w:char="0052"/>
            </w:r>
            <w:r>
              <w:rPr>
                <w:rStyle w:val="6"/>
                <w:rFonts w:ascii="宋体" w:hAnsi="宋体"/>
                <w:sz w:val="24"/>
                <w:highlight w:val="none"/>
              </w:rPr>
              <w:t xml:space="preserve">其他 </w:t>
            </w:r>
            <w:r>
              <w:rPr>
                <w:rStyle w:val="6"/>
                <w:rFonts w:ascii="宋体" w:hAnsi="宋体"/>
                <w:sz w:val="24"/>
                <w:szCs w:val="22"/>
                <w:highlight w:val="none"/>
              </w:rPr>
              <w:t>电话会议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rFonts w:hint="eastAsia"/>
                <w:sz w:val="24"/>
                <w:szCs w:val="22"/>
              </w:rPr>
              <w:t>中泰证券</w:t>
            </w:r>
            <w:r>
              <w:rPr>
                <w:rStyle w:val="6"/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Style w:val="6"/>
                <w:rFonts w:hint="eastAsia"/>
                <w:sz w:val="24"/>
                <w:szCs w:val="22"/>
              </w:rPr>
              <w:t xml:space="preserve"> </w:t>
            </w:r>
            <w:r>
              <w:rPr>
                <w:rStyle w:val="6"/>
                <w:sz w:val="24"/>
              </w:rPr>
              <w:t>国泰基金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兴全基金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rFonts w:hint="eastAsia"/>
                <w:sz w:val="24"/>
                <w:szCs w:val="22"/>
              </w:rPr>
              <w:t xml:space="preserve"> </w:t>
            </w:r>
            <w:r>
              <w:rPr>
                <w:rStyle w:val="6"/>
                <w:sz w:val="24"/>
              </w:rPr>
              <w:t>中泰资管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平安资产</w:t>
            </w:r>
          </w:p>
          <w:p>
            <w:pPr>
              <w:spacing w:line="360" w:lineRule="auto"/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sz w:val="24"/>
              </w:rPr>
              <w:t>泰康资产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博远基金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大成基金</w:t>
            </w:r>
            <w:r>
              <w:rPr>
                <w:rStyle w:val="6"/>
                <w:rFonts w:hint="eastAsia"/>
                <w:sz w:val="24"/>
              </w:rPr>
              <w:t xml:space="preserve"> 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合众资产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华泰证券资管</w:t>
            </w:r>
          </w:p>
          <w:p>
            <w:pPr>
              <w:spacing w:line="360" w:lineRule="auto"/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sz w:val="24"/>
              </w:rPr>
              <w:t>九泰基金</w:t>
            </w:r>
            <w:r>
              <w:rPr>
                <w:rStyle w:val="6"/>
                <w:rFonts w:hint="eastAsia"/>
                <w:sz w:val="24"/>
              </w:rPr>
              <w:t xml:space="preserve">  </w:t>
            </w:r>
            <w:r>
              <w:rPr>
                <w:rStyle w:val="6"/>
                <w:sz w:val="24"/>
              </w:rPr>
              <w:t>诚盛投资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谢诺辰阳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中金基金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华夏基金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sz w:val="24"/>
              </w:rPr>
              <w:t>海螺创投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平安基金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sz w:val="24"/>
              </w:rPr>
              <w:t>中信资本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人寿资管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sz w:val="24"/>
              </w:rPr>
              <w:t>长城财富资管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sz w:val="24"/>
              </w:rPr>
              <w:t>国君资管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江苏瑞华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睿扬投资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sz w:val="24"/>
              </w:rPr>
              <w:t>国联安基金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sz w:val="24"/>
              </w:rPr>
              <w:t>宁波金信资产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海通自营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中银资管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慎知投资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/>
                <w:sz w:val="24"/>
                <w:szCs w:val="22"/>
              </w:rPr>
              <w:t>源乘投资</w:t>
            </w:r>
            <w:r>
              <w:rPr>
                <w:rStyle w:val="6"/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Style w:val="6"/>
                <w:sz w:val="24"/>
              </w:rPr>
              <w:t>融通</w:t>
            </w:r>
            <w:r>
              <w:rPr>
                <w:rStyle w:val="6"/>
                <w:rFonts w:hint="eastAsia"/>
                <w:sz w:val="24"/>
                <w:lang w:eastAsia="zh-CN"/>
              </w:rPr>
              <w:t>基金</w:t>
            </w:r>
          </w:p>
          <w:p>
            <w:pPr>
              <w:spacing w:line="360" w:lineRule="auto"/>
              <w:rPr>
                <w:rStyle w:val="6"/>
                <w:rFonts w:hint="eastAsia"/>
                <w:sz w:val="24"/>
                <w:lang w:val="en-US" w:eastAsia="zh-CN"/>
              </w:rPr>
            </w:pPr>
            <w:r>
              <w:rPr>
                <w:rStyle w:val="6"/>
                <w:sz w:val="24"/>
              </w:rPr>
              <w:t>建信基金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富国基金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环懿投资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金元顺安</w:t>
            </w:r>
            <w:r>
              <w:rPr>
                <w:rStyle w:val="6"/>
                <w:rFonts w:hint="eastAsia"/>
                <w:sz w:val="24"/>
              </w:rPr>
              <w:t xml:space="preserve"> 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永赢基金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sz w:val="24"/>
              </w:rPr>
              <w:t>长盛基金</w:t>
            </w:r>
            <w:r>
              <w:rPr>
                <w:rStyle w:val="6"/>
                <w:rFonts w:hint="eastAsia"/>
                <w:sz w:val="24"/>
              </w:rPr>
              <w:t xml:space="preserve">  </w:t>
            </w:r>
            <w:r>
              <w:rPr>
                <w:rStyle w:val="6"/>
                <w:sz w:val="24"/>
              </w:rPr>
              <w:t>华夏未来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玖鹏投资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sz w:val="24"/>
              </w:rPr>
              <w:t>朴易投资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sz w:val="24"/>
              </w:rPr>
              <w:t>交银康联</w:t>
            </w:r>
          </w:p>
          <w:p>
            <w:pPr>
              <w:spacing w:line="360" w:lineRule="auto"/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sz w:val="24"/>
              </w:rPr>
              <w:t>理臻投资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中金资管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源乘投资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/>
                <w:sz w:val="24"/>
              </w:rPr>
              <w:t>进门财经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sz w:val="24"/>
              </w:rPr>
              <w:t>光大永明资管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sz w:val="24"/>
              </w:rPr>
              <w:t>金友创智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中海基金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sz w:val="24"/>
              </w:rPr>
              <w:t>国信资管</w:t>
            </w:r>
            <w:r>
              <w:rPr>
                <w:rStyle w:val="6"/>
                <w:rFonts w:hint="eastAsia"/>
                <w:sz w:val="24"/>
              </w:rPr>
              <w:t xml:space="preserve">  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hint="default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20</w:t>
            </w:r>
            <w:r>
              <w:rPr>
                <w:rStyle w:val="6"/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21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Style w:val="6"/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Style w:val="6"/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日</w:t>
            </w:r>
            <w:r>
              <w:rPr>
                <w:rStyle w:val="6"/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下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午</w:t>
            </w:r>
            <w:r>
              <w:rPr>
                <w:rStyle w:val="6"/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15</w:t>
            </w: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：30-1</w:t>
            </w:r>
            <w:r>
              <w:rPr>
                <w:rStyle w:val="6"/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  <w:szCs w:val="22"/>
              </w:rPr>
              <w:t>线上调研电话会议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>董事会秘书    张王伟</w:t>
            </w:r>
          </w:p>
          <w:p>
            <w:pPr>
              <w:spacing w:line="480" w:lineRule="atLeast"/>
              <w:rPr>
                <w:rStyle w:val="6"/>
                <w:rFonts w:hint="eastAsia" w:ascii="宋体" w:hAnsi="宋体" w:eastAsia="宋体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Style w:val="6"/>
                <w:rFonts w:ascii="宋体" w:hAnsi="宋体"/>
                <w:bCs/>
                <w:iCs/>
                <w:color w:val="000000"/>
                <w:sz w:val="24"/>
              </w:rPr>
              <w:t xml:space="preserve">证券事务代表  </w:t>
            </w:r>
            <w:r>
              <w:rPr>
                <w:rStyle w:val="6"/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沈旭红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投资者关系活动主要内容介绍</w:t>
            </w:r>
          </w:p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rPr>
                <w:rStyle w:val="6"/>
                <w:rFonts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Style w:val="6"/>
                <w:rFonts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介绍公司</w:t>
            </w:r>
            <w:r>
              <w:rPr>
                <w:rStyle w:val="6"/>
                <w:rFonts w:hint="eastAsia" w:ascii="宋体" w:hAnsi="宋体"/>
                <w:b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6"/>
                <w:rFonts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6"/>
                <w:rFonts w:hint="eastAsia" w:ascii="宋体" w:hAnsi="宋体"/>
                <w:b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Style w:val="6"/>
                <w:rFonts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业绩快报基本情况</w:t>
            </w:r>
          </w:p>
          <w:p>
            <w:pPr>
              <w:spacing w:line="480" w:lineRule="atLeast"/>
              <w:ind w:firstLine="480" w:firstLineChars="200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业绩快报已于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2020年2月25日公告，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公司实现营业收入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40.15亿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元，同比增长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8.27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；利润总额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6.38亿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元，同比增长2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1.07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；归属于上市公司股东的净利润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5.05亿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元，同比增长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23.15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%。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上述数据未经会计师事务所审计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,与年报中披露的最终数据可能存在差异，请投资者注意投资风险)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80" w:lineRule="atLeast"/>
              <w:ind w:firstLine="480" w:firstLineChars="200"/>
              <w:rPr>
                <w:rStyle w:val="6"/>
                <w:rFonts w:hint="default" w:ascii="宋体" w:hAnsi="宋体" w:eastAsia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2020年末，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公司归属上市公司股东的净利润从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2014年度的约5700万增长到2020年度的约5.05亿，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已连续六年保持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稳健增长。（2020年业绩快报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未经会计师事务所审计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5"/>
              <w:spacing w:line="360" w:lineRule="auto"/>
              <w:ind w:firstLine="480" w:firstLineChars="200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2020年度利润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保持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稳健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增长，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主要原因是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公司原料药板块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国外市场订单充裕，制剂板块销售逐季改善，意大利子公司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Newchem公司克服疫情初期影响生产逐步恢复正常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公司聚焦甾体激素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主业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紧盯市场需求，加快新产品开发和技术平台建设，持续夯实综合基础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能力。</w:t>
            </w:r>
          </w:p>
          <w:p>
            <w:pPr>
              <w:pStyle w:val="15"/>
              <w:spacing w:line="360" w:lineRule="auto"/>
              <w:ind w:firstLine="480" w:firstLineChars="200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6"/>
                <w:rFonts w:ascii="宋体" w:hAnsi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公司近期经营情况及</w:t>
            </w:r>
            <w:r>
              <w:rPr>
                <w:rStyle w:val="6"/>
                <w:rFonts w:hint="eastAsia" w:ascii="宋体" w:hAnsi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2021年的工作</w:t>
            </w:r>
          </w:p>
          <w:p>
            <w:pPr>
              <w:spacing w:line="480" w:lineRule="atLeast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公司生产经营总体平稳向好。</w:t>
            </w:r>
          </w:p>
          <w:p>
            <w:pPr>
              <w:spacing w:line="480" w:lineRule="atLeast"/>
              <w:ind w:firstLine="480" w:firstLineChars="200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方面，公司原料药新厂区2020年完成了30个批文产品的生产场地转移，客户审计工作有序开展，部分产品获得COPP证书，确保印度等区域的注册产品的销售。春节后公司已于正月初五开工生产。2021年杨府原料药厂区将继续优化固化工艺，逐步形成稳定持续高效产能。台州仙琚将重点关注优化反应步骤，在生产线上有效落地新工艺新设备，提高生产效能。制剂事业部将以FDA标准作为检验能力提升的标准，衔接产品生产、一致性评价产品和在研产品的高效生产运行，争取成为承接MAH机制下的高品质供应商。</w:t>
            </w:r>
          </w:p>
          <w:p>
            <w:pPr>
              <w:spacing w:line="480" w:lineRule="atLeast"/>
              <w:ind w:firstLine="480" w:firstLineChars="200"/>
              <w:rPr>
                <w:rStyle w:val="6"/>
                <w:rFonts w:hint="default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剂销售方面，随着国内疫情有效管控，大部分临床科室及门诊趋于正常，制剂销售情况改善明显。原料药销售方面，国内市场以制剂产品一致性评价和原料药关联审评为抓手，了解客户需求，努力成为国内甾体激素领域的高质量API供应商。国际市场将继续加大高端市场开拓力度，争取更多产品和项目合作，对公司尚未有效覆盖的市场扩大销售拜访力度。继续发挥同NEWCHEM的销售、生产协同效应，承接部分产品的进口注册工作，对接产品要在生产线上形成生产。</w:t>
            </w:r>
          </w:p>
          <w:p>
            <w:pPr>
              <w:spacing w:line="480" w:lineRule="atLeast"/>
              <w:ind w:firstLine="480" w:firstLineChars="200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80" w:lineRule="atLeast"/>
              <w:ind w:left="0" w:leftChars="0" w:firstLine="0" w:firstLineChars="0"/>
              <w:rPr>
                <w:rStyle w:val="6"/>
                <w:rFonts w:hint="eastAsia" w:ascii="宋体" w:hAnsi="宋体"/>
                <w:b/>
                <w:bCs w:val="0"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/>
                <w:bCs w:val="0"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公司研发情况</w:t>
            </w:r>
          </w:p>
          <w:p>
            <w:pPr>
              <w:numPr>
                <w:ilvl w:val="0"/>
                <w:numId w:val="0"/>
              </w:numPr>
              <w:spacing w:line="480" w:lineRule="atLeast"/>
              <w:jc w:val="both"/>
              <w:textAlignment w:val="baseline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目前公司已完成7个品种的一致性评价产品上报，已有两个产品（罗库溴铵注射液、米索前列醇片）获得批准，其中罗库溴铵注射液为国内首家通过一致性评价；目前还有约15个品种的一致性评价按预定计划推进。目前已完成4个仿制药新产品的研发申报（舒更葡糖钠注射液、甲泼尼龙片、苯磺顺阿曲库铵注射液、戊酸雌二醇片），还有约16个仿制药在研项目在有序推进。主要在研产品以市场空间和公司机会为切入点，对标竞争格局良好的原研产品管线。</w:t>
            </w:r>
          </w:p>
          <w:p>
            <w:pPr>
              <w:numPr>
                <w:ilvl w:val="0"/>
                <w:numId w:val="0"/>
              </w:numPr>
              <w:spacing w:line="480" w:lineRule="atLeast"/>
              <w:jc w:val="both"/>
              <w:textAlignment w:val="baseline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公司研发能力近几年成长显著，拥有仙居、杭州两个制剂研究基地，具备常规固体制剂及注射剂、半固体制剂、吸入制剂等剂型平台研发能力。20</w:t>
            </w:r>
            <w:bookmarkStart w:id="0" w:name="_GoBack"/>
            <w:bookmarkEnd w:id="0"/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20年共开展25个制剂项目的开发工作，取得预计进展。</w:t>
            </w:r>
          </w:p>
          <w:p>
            <w:pPr>
              <w:numPr>
                <w:ilvl w:val="0"/>
                <w:numId w:val="0"/>
              </w:numPr>
              <w:spacing w:line="480" w:lineRule="atLeast"/>
              <w:ind w:firstLine="480" w:firstLineChars="200"/>
              <w:jc w:val="both"/>
              <w:textAlignment w:val="baseline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原料药研发平台已初步构建。完成了9个新工艺，10个重要原料药的二次工艺开发，对8个现有产品的工艺提升。解决了十多个搬迁产品工艺固化存在的技术问题，完成了13个产品的DMF编制工作。</w:t>
            </w:r>
          </w:p>
          <w:p>
            <w:pPr>
              <w:numPr>
                <w:ilvl w:val="0"/>
                <w:numId w:val="0"/>
              </w:numPr>
              <w:spacing w:line="480" w:lineRule="atLeast"/>
              <w:ind w:firstLine="480" w:firstLineChars="200"/>
              <w:jc w:val="both"/>
              <w:textAlignment w:val="baseline"/>
              <w:rPr>
                <w:rStyle w:val="6"/>
                <w:rFonts w:hint="default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6"/>
                <w:rFonts w:hint="eastAsia" w:ascii="宋体" w:hAnsi="宋体"/>
                <w:b/>
                <w:bCs w:val="0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/>
                <w:bCs w:val="0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国家集中带量采购政策对公司的影响</w:t>
            </w:r>
          </w:p>
          <w:p>
            <w:pPr>
              <w:spacing w:line="480" w:lineRule="atLeast"/>
              <w:ind w:firstLine="480" w:firstLineChars="200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目前，公司产品尚未列入前四次的国家药品集中带量采购序列。公司是原料药和制剂一体化企业，制剂产品以专科用药为主，拥有妇科计生、麻醉肌松、呼吸、皮肤、普药等众多产品群。随着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“带量采购”政策在全国范围内的加快实施，公司将结合产品特点，抓住集采扩容和准入机会，快速应对市场变化，提高市场突破能力。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jc w:val="left"/>
              <w:rPr>
                <w:rStyle w:val="6"/>
                <w:rFonts w:hint="default" w:ascii="宋体" w:hAnsi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6"/>
                <w:rFonts w:hint="eastAsia" w:ascii="宋体" w:hAnsi="宋体"/>
                <w:b/>
                <w:bCs w:val="0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/>
                <w:bCs w:val="0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公司中长期战略定位</w:t>
            </w:r>
          </w:p>
          <w:p>
            <w:pPr>
              <w:spacing w:line="480" w:lineRule="atLeast"/>
              <w:ind w:firstLine="480" w:firstLineChars="200"/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将长期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聚焦甾体激素领域，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做全、做精激素产业链、不断丰富原料药及制剂产品结构，专注于综合能力提升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Style w:val="6"/>
                <w:rFonts w:hint="eastAsia" w:ascii="宋体" w:hAnsi="宋体" w:eastAsia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药是公司的根基和优势之一，甾体激素原料药具有高致敏性，对制造工艺、生产环境要求高；工艺过程复杂，兼具发酵和合成工艺。公司将继续做精做全甾体类高端原料药产品，努力成为全球甾体激素的优秀API供应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Style w:val="6"/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制剂产品具有多品种小批量，技术门槛高，激素类专线生产等特点，通过近几年技术积累和沉淀，公司力争在无菌混悬、吸入制剂等复杂制剂领域实现研发跨越。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附件清单</w:t>
            </w:r>
          </w:p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auto"/>
        <w:ind w:firstLine="360"/>
        <w:jc w:val="left"/>
        <w:rPr>
          <w:rStyle w:val="6"/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3418"/>
    <w:multiLevelType w:val="singleLevel"/>
    <w:tmpl w:val="31DE34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E"/>
    <w:rsid w:val="00103205"/>
    <w:rsid w:val="0022211E"/>
    <w:rsid w:val="00222F19"/>
    <w:rsid w:val="00387786"/>
    <w:rsid w:val="004678F9"/>
    <w:rsid w:val="00500DAB"/>
    <w:rsid w:val="00525F7E"/>
    <w:rsid w:val="006D7679"/>
    <w:rsid w:val="0076775C"/>
    <w:rsid w:val="007D35F5"/>
    <w:rsid w:val="00874952"/>
    <w:rsid w:val="009152F2"/>
    <w:rsid w:val="00A128E7"/>
    <w:rsid w:val="00A41C80"/>
    <w:rsid w:val="00AD38E6"/>
    <w:rsid w:val="00B408F7"/>
    <w:rsid w:val="00C80D76"/>
    <w:rsid w:val="00E3536B"/>
    <w:rsid w:val="00E5244D"/>
    <w:rsid w:val="00E55D97"/>
    <w:rsid w:val="00EB0518"/>
    <w:rsid w:val="00EB5DDB"/>
    <w:rsid w:val="00EE25F4"/>
    <w:rsid w:val="00F45868"/>
    <w:rsid w:val="00F93DC3"/>
    <w:rsid w:val="00FA1297"/>
    <w:rsid w:val="01D12014"/>
    <w:rsid w:val="07AD72A1"/>
    <w:rsid w:val="07DB5D29"/>
    <w:rsid w:val="095F2057"/>
    <w:rsid w:val="0A6F58F6"/>
    <w:rsid w:val="0C7940D4"/>
    <w:rsid w:val="10657407"/>
    <w:rsid w:val="1183681F"/>
    <w:rsid w:val="124B7A44"/>
    <w:rsid w:val="140C6DF4"/>
    <w:rsid w:val="15B34797"/>
    <w:rsid w:val="1C5D4CAF"/>
    <w:rsid w:val="1EDE769F"/>
    <w:rsid w:val="21564F9A"/>
    <w:rsid w:val="23C632A7"/>
    <w:rsid w:val="24581CCD"/>
    <w:rsid w:val="24781640"/>
    <w:rsid w:val="25C10A17"/>
    <w:rsid w:val="280638E4"/>
    <w:rsid w:val="2A1D5190"/>
    <w:rsid w:val="2C87471B"/>
    <w:rsid w:val="2E5734CA"/>
    <w:rsid w:val="2F627A5E"/>
    <w:rsid w:val="30B7290D"/>
    <w:rsid w:val="315232A8"/>
    <w:rsid w:val="3AF864F7"/>
    <w:rsid w:val="3D6545D0"/>
    <w:rsid w:val="3EE52723"/>
    <w:rsid w:val="422541A4"/>
    <w:rsid w:val="44FF53F5"/>
    <w:rsid w:val="4540473C"/>
    <w:rsid w:val="485E1656"/>
    <w:rsid w:val="4ADB0EEB"/>
    <w:rsid w:val="4B824593"/>
    <w:rsid w:val="502F666B"/>
    <w:rsid w:val="549E1CCA"/>
    <w:rsid w:val="553A50BF"/>
    <w:rsid w:val="59AD2754"/>
    <w:rsid w:val="5C071E4F"/>
    <w:rsid w:val="5F62039E"/>
    <w:rsid w:val="65765787"/>
    <w:rsid w:val="66B82C7C"/>
    <w:rsid w:val="691B1209"/>
    <w:rsid w:val="69293B3A"/>
    <w:rsid w:val="6B9C475C"/>
    <w:rsid w:val="6CE33CC0"/>
    <w:rsid w:val="6DD877BE"/>
    <w:rsid w:val="7136186B"/>
    <w:rsid w:val="740657A3"/>
    <w:rsid w:val="74267CE5"/>
    <w:rsid w:val="770C3160"/>
    <w:rsid w:val="778973E0"/>
    <w:rsid w:val="786D601E"/>
    <w:rsid w:val="78D74447"/>
    <w:rsid w:val="7BF006F4"/>
    <w:rsid w:val="7F6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link w:val="9"/>
    <w:qFormat/>
    <w:uiPriority w:val="0"/>
    <w:rPr>
      <w:kern w:val="2"/>
      <w:sz w:val="18"/>
      <w:szCs w:val="18"/>
    </w:rPr>
  </w:style>
  <w:style w:type="paragraph" w:customStyle="1" w:styleId="9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1"/>
    <w:link w:val="11"/>
    <w:qFormat/>
    <w:uiPriority w:val="0"/>
    <w:rPr>
      <w:kern w:val="2"/>
      <w:sz w:val="18"/>
      <w:szCs w:val="18"/>
    </w:rPr>
  </w:style>
  <w:style w:type="paragraph" w:customStyle="1" w:styleId="11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character" w:customStyle="1" w:styleId="13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1641</Characters>
  <Lines>13</Lines>
  <Paragraphs>3</Paragraphs>
  <TotalTime>29</TotalTime>
  <ScaleCrop>false</ScaleCrop>
  <LinksUpToDate>false</LinksUpToDate>
  <CharactersWithSpaces>1925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2019-10-30T07:33:00Z</dcterms:created>
  <dc:creator>XJ-CJ3-21</dc:creator>
  <cp:lastModifiedBy>九日</cp:lastModifiedBy>
  <dcterms:modified xsi:type="dcterms:W3CDTF">2021-03-01T01:28:13Z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