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400" w:lineRule="exact"/>
        <w:ind w:firstLine="720" w:firstLineChars="300"/>
        <w:rPr>
          <w:rStyle w:val="6"/>
          <w:rFonts w:ascii="宋体" w:hAnsi="宋体"/>
          <w:bCs/>
          <w:iCs/>
          <w:color w:val="auto"/>
          <w:sz w:val="24"/>
        </w:rPr>
      </w:pPr>
      <w:bookmarkStart w:id="0" w:name="_GoBack"/>
      <w:r>
        <w:rPr>
          <w:rStyle w:val="6"/>
          <w:rFonts w:ascii="宋体" w:hAnsi="宋体"/>
          <w:bCs/>
          <w:iCs/>
          <w:color w:val="auto"/>
          <w:sz w:val="24"/>
        </w:rPr>
        <w:t>证券代码：002332                  证券简称：仙琚制药</w:t>
      </w:r>
    </w:p>
    <w:p>
      <w:pPr>
        <w:spacing w:before="156" w:after="156" w:line="400" w:lineRule="exact"/>
        <w:ind w:firstLine="720" w:firstLineChars="300"/>
        <w:rPr>
          <w:rStyle w:val="6"/>
          <w:rFonts w:ascii="宋体" w:hAnsi="宋体"/>
          <w:bCs/>
          <w:iCs/>
          <w:color w:val="auto"/>
          <w:sz w:val="24"/>
        </w:rPr>
      </w:pPr>
    </w:p>
    <w:p>
      <w:pPr>
        <w:spacing w:before="156" w:after="156" w:line="400" w:lineRule="exact"/>
        <w:jc w:val="center"/>
        <w:rPr>
          <w:rStyle w:val="6"/>
          <w:rFonts w:ascii="宋体" w:hAnsi="宋体"/>
          <w:b/>
          <w:bCs/>
          <w:iCs/>
          <w:color w:val="auto"/>
          <w:sz w:val="32"/>
          <w:szCs w:val="32"/>
        </w:rPr>
      </w:pPr>
      <w:r>
        <w:rPr>
          <w:rStyle w:val="6"/>
          <w:rFonts w:ascii="宋体" w:hAnsi="宋体"/>
          <w:b/>
          <w:bCs/>
          <w:iCs/>
          <w:color w:val="auto"/>
          <w:sz w:val="32"/>
          <w:szCs w:val="32"/>
        </w:rPr>
        <w:t>浙江仙琚制药股份有限公司投资者关系活动记录表</w:t>
      </w:r>
    </w:p>
    <w:p>
      <w:pPr>
        <w:spacing w:line="400" w:lineRule="exact"/>
        <w:rPr>
          <w:rStyle w:val="6"/>
          <w:rFonts w:hint="eastAsia" w:ascii="宋体" w:hAnsi="宋体" w:eastAsia="宋体"/>
          <w:bCs/>
          <w:iCs/>
          <w:color w:val="auto"/>
          <w:sz w:val="24"/>
          <w:lang w:val="en-US" w:eastAsia="zh-CN"/>
        </w:rPr>
      </w:pPr>
      <w:r>
        <w:rPr>
          <w:rStyle w:val="6"/>
          <w:rFonts w:ascii="宋体" w:hAnsi="宋体"/>
          <w:bCs/>
          <w:iCs/>
          <w:color w:val="auto"/>
          <w:sz w:val="24"/>
        </w:rPr>
        <w:t xml:space="preserve">                                                      编号：20</w:t>
      </w:r>
      <w:r>
        <w:rPr>
          <w:rStyle w:val="6"/>
          <w:rFonts w:hint="eastAsia" w:ascii="宋体" w:hAnsi="宋体"/>
          <w:bCs/>
          <w:iCs/>
          <w:color w:val="auto"/>
          <w:sz w:val="24"/>
          <w:lang w:val="en-US" w:eastAsia="zh-CN"/>
        </w:rPr>
        <w:t>21</w:t>
      </w:r>
      <w:r>
        <w:rPr>
          <w:rStyle w:val="6"/>
          <w:rFonts w:ascii="宋体" w:hAnsi="宋体"/>
          <w:bCs/>
          <w:iCs/>
          <w:color w:val="auto"/>
          <w:sz w:val="24"/>
        </w:rPr>
        <w:t>-0</w:t>
      </w:r>
      <w:r>
        <w:rPr>
          <w:rStyle w:val="6"/>
          <w:rFonts w:ascii="宋体" w:hAnsi="宋体"/>
          <w:bCs/>
          <w:iCs/>
          <w:color w:val="auto"/>
          <w:sz w:val="24"/>
        </w:rPr>
        <w:t>0</w:t>
      </w:r>
      <w:r>
        <w:rPr>
          <w:rStyle w:val="6"/>
          <w:rFonts w:hint="eastAsia" w:ascii="宋体" w:hAnsi="宋体"/>
          <w:bCs/>
          <w:iCs/>
          <w:color w:val="auto"/>
          <w:sz w:val="24"/>
          <w:lang w:val="en-US" w:eastAsia="zh-CN"/>
        </w:rPr>
        <w:t>3</w:t>
      </w:r>
    </w:p>
    <w:tbl>
      <w:tblPr>
        <w:tblStyle w:val="4"/>
        <w:tblW w:w="89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7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  <w:t>投资者关系活动类别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sym w:font="Wingdings 2" w:char="00A3"/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特定对象调研 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eastAsia="zh-CN"/>
              </w:rPr>
              <w:t>现场会议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      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□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>分析师会议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sym w:font="Wingdings 2" w:char="00A3"/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媒体采访           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□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>业绩说明会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□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新闻发布会         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□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>路演活动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045"/>
                <w:tab w:val="center" w:pos="3199"/>
              </w:tabs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□</w:t>
            </w:r>
            <w:r>
              <w:rPr>
                <w:rStyle w:val="6"/>
                <w:rFonts w:ascii="宋体" w:hAnsi="宋体"/>
                <w:color w:val="auto"/>
                <w:sz w:val="24"/>
              </w:rPr>
              <w:t>现场参观</w:t>
            </w:r>
            <w:r>
              <w:rPr>
                <w:rStyle w:val="6"/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  <w:highlight w:val="none"/>
              </w:rPr>
              <w:sym w:font="Wingdings 2" w:char="0052"/>
            </w:r>
            <w:r>
              <w:rPr>
                <w:rStyle w:val="6"/>
                <w:rFonts w:ascii="宋体" w:hAnsi="宋体"/>
                <w:color w:val="auto"/>
                <w:sz w:val="24"/>
                <w:highlight w:val="none"/>
              </w:rPr>
              <w:t xml:space="preserve">其他 </w:t>
            </w:r>
            <w:r>
              <w:rPr>
                <w:rStyle w:val="6"/>
                <w:rFonts w:ascii="宋体" w:hAnsi="宋体"/>
                <w:color w:val="auto"/>
                <w:sz w:val="24"/>
                <w:szCs w:val="22"/>
                <w:highlight w:val="none"/>
              </w:rPr>
              <w:t>电话会议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  <w:t>参与单位名称及人员姓名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eastAsia="宋体"/>
                <w:color w:val="auto"/>
                <w:sz w:val="24"/>
                <w:lang w:val="en-US" w:eastAsia="zh-CN"/>
              </w:rPr>
              <w:t>华创证券</w:t>
            </w: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  中泰证券  浙商证券  东方证券  国联安基金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大摩基金  兴全基金  中欧基金  天合投资  九泰基金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进门财经  上银基金  国泰基金  </w:t>
            </w:r>
            <w:r>
              <w:rPr>
                <w:rStyle w:val="6"/>
                <w:rFonts w:hint="default"/>
                <w:color w:val="auto"/>
                <w:sz w:val="24"/>
                <w:lang w:val="en-US" w:eastAsia="zh-CN"/>
              </w:rPr>
              <w:t>高毅</w:t>
            </w: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资产  中庚基金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华安财保  港丽投资  光大资管  永赢基金  </w:t>
            </w:r>
            <w:r>
              <w:rPr>
                <w:rStyle w:val="6"/>
                <w:rFonts w:hint="default"/>
                <w:color w:val="auto"/>
                <w:sz w:val="24"/>
                <w:lang w:val="en-US" w:eastAsia="zh-CN"/>
              </w:rPr>
              <w:t>厚有安资产</w:t>
            </w: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中银资管  华安基金  华夏基金  西部利得  丰和正勤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通用投资  前海瑞园  长甲资管  富国基金  弘毅远方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人保资产  谢诺辰阳  国投瑞银  中再资产  悟空投资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明世伙伴  国寿养老  长城财富  上海承周  泰康资管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摩根华鑫  长江资管  财通证券  相生资产  长盛基金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安邦资管  凯石基金  太平基金  华富基金  农银汇理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华宝基金  平安养老  德邦基金  中邮创业  易方达基金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/>
                <w:color w:val="auto"/>
                <w:sz w:val="24"/>
                <w:lang w:val="en-US" w:eastAsia="zh-CN"/>
              </w:rPr>
              <w:t xml:space="preserve">东吴人寿  中信保诚  北大方正  诺安基金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  <w:t>时间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hint="default" w:ascii="宋体" w:hAnsi="宋体" w:eastAsia="宋体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20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21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年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4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月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28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日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eastAsia="zh-CN"/>
              </w:rPr>
              <w:t>下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午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15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：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30</w:t>
            </w: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-1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  <w:t>地点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hint="default" w:ascii="宋体" w:hAnsi="宋体" w:eastAsia="宋体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>浙江仙琚制药股份有限公司   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  <w:t>上市公司接待人员姓名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>董事会秘书    张王伟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hint="default" w:ascii="宋体" w:hAnsi="宋体" w:eastAsia="宋体"/>
                <w:bCs/>
                <w:iCs/>
                <w:color w:val="auto"/>
                <w:sz w:val="24"/>
                <w:lang w:val="en-US" w:eastAsia="zh-CN"/>
              </w:rPr>
            </w:pPr>
            <w:r>
              <w:rPr>
                <w:rStyle w:val="6"/>
                <w:rFonts w:ascii="宋体" w:hAnsi="宋体"/>
                <w:bCs/>
                <w:iCs/>
                <w:color w:val="auto"/>
                <w:sz w:val="24"/>
              </w:rPr>
              <w:t xml:space="preserve">证券事务代表  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eastAsia="zh-CN"/>
              </w:rPr>
              <w:t>沈旭红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  <w:t>投资者关系活动主要内容介绍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auto"/>
                <w:sz w:val="24"/>
              </w:rPr>
            </w:pP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rPr>
                <w:rStyle w:val="6"/>
                <w:rFonts w:ascii="宋体" w:hAnsi="宋体"/>
                <w:b/>
                <w:color w:val="auto"/>
                <w:sz w:val="24"/>
                <w:szCs w:val="22"/>
              </w:rPr>
            </w:pPr>
            <w:r>
              <w:rPr>
                <w:rStyle w:val="6"/>
                <w:rFonts w:ascii="宋体" w:hAnsi="宋体"/>
                <w:b/>
                <w:color w:val="auto"/>
                <w:sz w:val="24"/>
              </w:rPr>
              <w:t>1、</w:t>
            </w:r>
            <w:r>
              <w:rPr>
                <w:rStyle w:val="6"/>
                <w:rFonts w:ascii="宋体" w:hAnsi="宋体"/>
                <w:b/>
                <w:color w:val="auto"/>
                <w:sz w:val="24"/>
                <w:szCs w:val="22"/>
              </w:rPr>
              <w:t>介绍公司20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  <w:lang w:val="en-US" w:eastAsia="zh-CN"/>
              </w:rPr>
              <w:t>20</w:t>
            </w:r>
            <w:r>
              <w:rPr>
                <w:rStyle w:val="6"/>
                <w:rFonts w:ascii="宋体" w:hAnsi="宋体"/>
                <w:b/>
                <w:color w:val="auto"/>
                <w:sz w:val="24"/>
                <w:szCs w:val="22"/>
              </w:rPr>
              <w:t>年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</w:rPr>
              <w:t>度</w:t>
            </w:r>
            <w:r>
              <w:rPr>
                <w:rStyle w:val="6"/>
                <w:rFonts w:ascii="宋体" w:hAnsi="宋体"/>
                <w:b/>
                <w:color w:val="auto"/>
                <w:sz w:val="24"/>
                <w:szCs w:val="22"/>
              </w:rPr>
              <w:t>业绩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</w:rPr>
              <w:t>与202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</w:rPr>
              <w:t>年一季度业绩</w:t>
            </w:r>
            <w:r>
              <w:rPr>
                <w:rStyle w:val="6"/>
                <w:rFonts w:ascii="宋体" w:hAnsi="宋体"/>
                <w:b/>
                <w:color w:val="auto"/>
                <w:sz w:val="24"/>
                <w:szCs w:val="22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2" w:firstLineChars="200"/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</w:pPr>
            <w:r>
              <w:rPr>
                <w:rStyle w:val="6"/>
                <w:rFonts w:hint="eastAsia" w:ascii="宋体" w:hAnsi="宋体"/>
                <w:b/>
                <w:iCs/>
                <w:color w:val="auto"/>
                <w:sz w:val="24"/>
                <w:szCs w:val="22"/>
              </w:rPr>
              <w:t>20</w:t>
            </w:r>
            <w:r>
              <w:rPr>
                <w:rStyle w:val="6"/>
                <w:rFonts w:hint="eastAsia" w:ascii="宋体" w:hAnsi="宋体"/>
                <w:b/>
                <w:iCs/>
                <w:color w:val="auto"/>
                <w:sz w:val="24"/>
                <w:szCs w:val="22"/>
                <w:lang w:val="en-US" w:eastAsia="zh-CN"/>
              </w:rPr>
              <w:t>20</w:t>
            </w:r>
            <w:r>
              <w:rPr>
                <w:rStyle w:val="6"/>
                <w:rFonts w:hint="eastAsia" w:ascii="宋体" w:hAnsi="宋体"/>
                <w:b/>
                <w:iCs/>
                <w:color w:val="auto"/>
                <w:sz w:val="24"/>
                <w:szCs w:val="22"/>
              </w:rPr>
              <w:t>年年度业绩情况：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公司实现营业收入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40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.18亿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元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8.37%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；实现归属于上市公司股东的净利润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5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.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0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4亿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元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22.94%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</w:pP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公司主营营业收入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40.02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8.27%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。收入结构按原料药与制剂分为两大类：（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）制剂销售收入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21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亿元，其中制剂自营代理销售收入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20.2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亿元，同比持平；医药拓展部制剂销售收入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0.8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14%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。（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2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）原料药及中间体销售收入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18.8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18.9%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，其中主要自营原料药销售收入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8.23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27%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；意大利子公司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 xml:space="preserve"> Newchem 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公司销售收入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6.31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亿元，同比增长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 xml:space="preserve"> 9.5%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；海盛制药公司销售收入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1.43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亿元，同比下降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19.7%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，仙曜贸易公司销售收入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1.33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亿元，其他原料药贸易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1.5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亿元。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2" w:firstLineChars="200"/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</w:pP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</w:rPr>
              <w:t>202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  <w:lang w:val="en-US" w:eastAsia="zh-CN"/>
              </w:rPr>
              <w:t>1</w:t>
            </w:r>
            <w:r>
              <w:rPr>
                <w:rStyle w:val="6"/>
                <w:rFonts w:hint="eastAsia" w:ascii="宋体" w:hAnsi="宋体"/>
                <w:b/>
                <w:color w:val="auto"/>
                <w:sz w:val="24"/>
                <w:szCs w:val="22"/>
              </w:rPr>
              <w:t>年一季度业绩情况：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公司实现营业收入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10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元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，同比增长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34.47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；实现归属于上市公司股东的净利润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1.1亿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元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，同比增长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64.21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。归属于上市公司股东的扣除非经常性损益的净利润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1.09亿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元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，同比增长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71.59</w:t>
            </w:r>
            <w:r>
              <w:rPr>
                <w:rStyle w:val="6"/>
                <w:rFonts w:hint="default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%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</w:pP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2021年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一季度，公司原料药保持稳健，制剂销售整体向好：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</w:pP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去年同期制剂产品特别是麻醉肌松类受影响较为严重，今年一季度，制剂产品销售取得较高的增长。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罗库溴铵注射液2年一季度（2021年一季度比2020、2019年一季度）同比复合增长率30%；苯磺顺阿曲库铵注射液2年一季度同比复合增长率23%；维库溴铵注射液2年一季度同比复合增长率17%；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呼吸科产品2年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一季度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复合增长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en-US" w:eastAsia="zh-CN"/>
              </w:rPr>
              <w:t>率</w:t>
            </w:r>
            <w:r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  <w:t>40%左右。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eastAsia" w:ascii="宋体" w:hAnsi="宋体" w:eastAsiaTheme="minorEastAsia"/>
                <w:bCs/>
                <w:iCs/>
                <w:color w:val="auto"/>
                <w:sz w:val="24"/>
                <w:szCs w:val="22"/>
                <w:lang w:val="zh-CN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Style w:val="6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  <w:t>2、公司中长期战略定位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</w:pP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公司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将长期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聚焦甾体激素领域，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  <w:lang w:eastAsia="zh-CN"/>
              </w:rPr>
              <w:t>做全、做精激素产业链、不断丰富原料药及制剂产品结构，专注于综合能力提升，不断提升产品的价值，在行业内形成小而美的行业特色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</w:rPr>
              <w:t>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Style w:val="6"/>
                <w:rFonts w:hint="eastAsia" w:ascii="宋体" w:hAnsi="宋体" w:eastAsia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原料药是公司的根基和优势之一，甾体激素原料药具有高致敏性，对制造工艺、生产环境要求高；工艺过程复杂，兼具发酵和合成工艺。公司高度重视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以技术迭代为基础的提质量扩容，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将继续做精做全甾体类高端原料药产品，努力成为全球甾体激素的优秀API供应商。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Style w:val="6"/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2"/>
                <w:lang w:val="en-US" w:eastAsia="zh-CN"/>
              </w:rPr>
              <w:t>制剂产品具有多品种小批量，技术门槛高，激素类专线生产等特点，</w:t>
            </w:r>
            <w:r>
              <w:rPr>
                <w:rStyle w:val="6"/>
                <w:rFonts w:hint="eastAsia" w:hAnsi="宋体"/>
                <w:b w:val="0"/>
                <w:bCs/>
                <w:color w:val="auto"/>
                <w:kern w:val="2"/>
                <w:sz w:val="24"/>
                <w:szCs w:val="22"/>
                <w:lang w:val="en-US" w:eastAsia="zh-CN"/>
              </w:rPr>
              <w:t>公司将</w:t>
            </w:r>
            <w:r>
              <w:rPr>
                <w:rFonts w:hint="eastAsia"/>
                <w:color w:val="auto"/>
                <w:kern w:val="2"/>
              </w:rPr>
              <w:t>专注于高壁垒的复杂制剂</w:t>
            </w:r>
            <w:r>
              <w:rPr>
                <w:rFonts w:hint="eastAsia"/>
                <w:color w:val="auto"/>
                <w:kern w:val="2"/>
                <w:lang w:eastAsia="zh-CN"/>
              </w:rPr>
              <w:t>研究</w:t>
            </w:r>
            <w:r>
              <w:rPr>
                <w:rFonts w:hint="eastAsia"/>
                <w:color w:val="auto"/>
                <w:kern w:val="2"/>
              </w:rPr>
              <w:t>，比如肺部给药、半固体凝胶</w:t>
            </w:r>
            <w:r>
              <w:rPr>
                <w:rFonts w:hint="eastAsia"/>
                <w:color w:val="auto"/>
                <w:kern w:val="2"/>
                <w:lang w:eastAsia="zh-CN"/>
              </w:rPr>
              <w:t>，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kern w:val="2"/>
                <w:sz w:val="24"/>
                <w:szCs w:val="22"/>
                <w:lang w:val="en-US" w:eastAsia="zh-CN"/>
              </w:rPr>
              <w:t>力争在无菌混悬、吸入制剂等复杂制剂领域实现研发跨越</w:t>
            </w:r>
            <w:r>
              <w:rPr>
                <w:rStyle w:val="6"/>
                <w:rFonts w:hint="eastAsia" w:hAnsi="宋体"/>
                <w:b w:val="0"/>
                <w:bCs/>
                <w:color w:val="auto"/>
                <w:kern w:val="2"/>
                <w:sz w:val="24"/>
                <w:szCs w:val="22"/>
                <w:lang w:val="en-US" w:eastAsia="zh-CN"/>
              </w:rPr>
              <w:t>，</w:t>
            </w:r>
            <w:r>
              <w:rPr>
                <w:rFonts w:hint="eastAsia"/>
                <w:color w:val="auto"/>
                <w:kern w:val="2"/>
              </w:rPr>
              <w:t>不断的技术迭代和技术突破。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  <w:highlight w:val="none"/>
              </w:rPr>
            </w:pPr>
          </w:p>
          <w:p>
            <w:pPr>
              <w:pStyle w:val="15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auto"/>
              <w:ind w:left="0" w:right="0"/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研发情况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</w:rPr>
              <w:t>公司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近年来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对研发的重视程度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、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投入程度不断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加大，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未来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几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公司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还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将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紧紧围绕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皮质激素类、性激素类、麻醉与肌松类、呼吸科类四大治疗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领域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开展后续研发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zh-CN"/>
              </w:rPr>
              <w:t>管线布局</w:t>
            </w:r>
            <w:r>
              <w:rPr>
                <w:rFonts w:asciiTheme="minorEastAsia" w:hAnsiTheme="minorEastAsia" w:eastAsiaTheme="minorEastAsia"/>
                <w:color w:val="auto"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在现有产品的基础上，填平补齐，做精做全，更新迭代，进行衍生和提升。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公司一致性评价品种22个，已申报8个；新仿制品种18个，已申报4个。截止目前已完成8个品种12个规格的一致性评价研究上报国家药监局，其中罗库溴铵注射液、非那雄胺片、米索前列醇片3个品种获得批准，罗库溴铵注射液为全国首家通过一致性评价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“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仙居甾体药物产业创新服务综合体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”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列入省科技厅创建项目，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“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甾体药物工程研究中心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”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项目列入省发改委创建计划。制剂研发能力显著提升，经过近几年的不懈积累，公司拥有了仙居和杭州二个研发基地，团队具有了常规制剂、半固体制剂、吸入制剂和腔道给药制剂的研发能力。原料药研发平台已初步构建，甾体药物原料药的研发能力和优势已凸显。建立公司的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DMF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编程和模板，并完成了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13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个产品的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DMF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编制；建立和</w:t>
            </w:r>
            <w:r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Newchem</w:t>
            </w: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公司的联动开发机制；开展了曲安奈德等无菌原料药研究；生物技术应用取得进展。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4、Newchem公司</w:t>
            </w:r>
            <w:r>
              <w:rPr>
                <w:rStyle w:val="6"/>
                <w:rFonts w:hint="eastAsia" w:hAnsi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产品情况以及</w:t>
            </w:r>
            <w:r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生产经营情况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  <w:lang w:eastAsia="zh-CN"/>
              </w:rPr>
            </w:pPr>
            <w:r>
              <w:rPr>
                <w:rFonts w:hint="eastAsia"/>
                <w:color w:val="auto"/>
                <w:kern w:val="2"/>
              </w:rPr>
              <w:t>Newchem</w:t>
            </w:r>
            <w:r>
              <w:rPr>
                <w:rFonts w:hint="eastAsia"/>
                <w:color w:val="auto"/>
                <w:kern w:val="2"/>
                <w:lang w:eastAsia="zh-CN"/>
              </w:rPr>
              <w:t>公司</w:t>
            </w:r>
            <w:r>
              <w:rPr>
                <w:rFonts w:hint="eastAsia"/>
                <w:color w:val="auto"/>
                <w:kern w:val="2"/>
              </w:rPr>
              <w:t>有6</w:t>
            </w:r>
            <w:r>
              <w:rPr>
                <w:color w:val="auto"/>
                <w:kern w:val="2"/>
              </w:rPr>
              <w:t>2</w:t>
            </w:r>
            <w:r>
              <w:rPr>
                <w:rFonts w:hint="eastAsia"/>
                <w:color w:val="auto"/>
                <w:kern w:val="2"/>
              </w:rPr>
              <w:t>个</w:t>
            </w:r>
            <w:r>
              <w:rPr>
                <w:rFonts w:hint="eastAsia"/>
                <w:color w:val="auto"/>
                <w:kern w:val="2"/>
                <w:lang w:eastAsia="zh-CN"/>
              </w:rPr>
              <w:t>产品，其中</w:t>
            </w:r>
            <w:r>
              <w:rPr>
                <w:rFonts w:hint="eastAsia"/>
                <w:color w:val="auto"/>
                <w:kern w:val="2"/>
              </w:rPr>
              <w:t>皮质类固醇产品3</w:t>
            </w:r>
            <w:r>
              <w:rPr>
                <w:color w:val="auto"/>
                <w:kern w:val="2"/>
              </w:rPr>
              <w:t>8</w:t>
            </w:r>
            <w:r>
              <w:rPr>
                <w:rFonts w:hint="eastAsia"/>
                <w:color w:val="auto"/>
                <w:kern w:val="2"/>
              </w:rPr>
              <w:t>个，激素类产品</w:t>
            </w:r>
            <w:r>
              <w:rPr>
                <w:color w:val="auto"/>
                <w:kern w:val="2"/>
              </w:rPr>
              <w:t>8</w:t>
            </w:r>
            <w:r>
              <w:rPr>
                <w:rFonts w:hint="eastAsia"/>
                <w:color w:val="auto"/>
                <w:kern w:val="2"/>
              </w:rPr>
              <w:t>个，前列腺素产品</w:t>
            </w:r>
            <w:r>
              <w:rPr>
                <w:rFonts w:hint="eastAsia"/>
                <w:color w:val="auto"/>
                <w:kern w:val="2"/>
                <w:lang w:val="en-US" w:eastAsia="zh-CN"/>
              </w:rPr>
              <w:t>7</w:t>
            </w:r>
            <w:r>
              <w:rPr>
                <w:rFonts w:hint="eastAsia"/>
                <w:color w:val="auto"/>
                <w:kern w:val="2"/>
              </w:rPr>
              <w:t>个</w:t>
            </w:r>
            <w:r>
              <w:rPr>
                <w:rFonts w:hint="eastAsia"/>
                <w:color w:val="auto"/>
                <w:kern w:val="2"/>
                <w:lang w:eastAsia="zh-CN"/>
              </w:rPr>
              <w:t>，其他激素衍生物</w:t>
            </w:r>
            <w:r>
              <w:rPr>
                <w:rFonts w:hint="eastAsia"/>
                <w:color w:val="auto"/>
                <w:kern w:val="2"/>
                <w:lang w:val="en-US" w:eastAsia="zh-CN"/>
              </w:rPr>
              <w:t>9个；</w:t>
            </w:r>
            <w:r>
              <w:rPr>
                <w:rFonts w:hint="eastAsia"/>
                <w:color w:val="auto"/>
                <w:kern w:val="2"/>
                <w:lang w:val="en-US" w:eastAsia="zh-CN"/>
              </w:rPr>
              <w:t>目前24个产品具备DMF或CEP文号，在美国、欧盟和日本等规范市场获得准入，</w:t>
            </w:r>
            <w:r>
              <w:rPr>
                <w:rFonts w:hint="eastAsia"/>
                <w:color w:val="auto"/>
                <w:kern w:val="2"/>
              </w:rPr>
              <w:t>Newchem</w:t>
            </w:r>
            <w:r>
              <w:rPr>
                <w:rFonts w:hint="eastAsia"/>
                <w:color w:val="auto"/>
                <w:kern w:val="2"/>
                <w:lang w:eastAsia="zh-CN"/>
              </w:rPr>
              <w:t>的</w:t>
            </w:r>
            <w:r>
              <w:rPr>
                <w:rFonts w:hint="eastAsia"/>
                <w:color w:val="auto"/>
                <w:kern w:val="2"/>
              </w:rPr>
              <w:t>皮质类固醇类</w:t>
            </w:r>
            <w:r>
              <w:rPr>
                <w:rFonts w:hint="eastAsia"/>
                <w:color w:val="auto"/>
                <w:kern w:val="2"/>
                <w:lang w:eastAsia="zh-CN"/>
              </w:rPr>
              <w:t>产品</w:t>
            </w:r>
            <w:r>
              <w:rPr>
                <w:rFonts w:hint="eastAsia"/>
                <w:color w:val="auto"/>
                <w:kern w:val="2"/>
              </w:rPr>
              <w:t>丙酸氟替卡松、</w:t>
            </w:r>
            <w:r>
              <w:rPr>
                <w:rFonts w:hint="eastAsia"/>
                <w:color w:val="auto"/>
                <w:kern w:val="2"/>
                <w:lang w:eastAsia="zh-CN"/>
              </w:rPr>
              <w:t>糠</w:t>
            </w:r>
            <w:r>
              <w:rPr>
                <w:rFonts w:hint="eastAsia"/>
                <w:color w:val="auto"/>
                <w:kern w:val="2"/>
              </w:rPr>
              <w:t>酸氟替卡松、氟</w:t>
            </w:r>
            <w:r>
              <w:rPr>
                <w:rFonts w:hint="eastAsia"/>
                <w:color w:val="auto"/>
                <w:kern w:val="2"/>
                <w:lang w:eastAsia="zh-CN"/>
              </w:rPr>
              <w:t>米</w:t>
            </w:r>
            <w:r>
              <w:rPr>
                <w:rFonts w:hint="eastAsia"/>
                <w:color w:val="auto"/>
                <w:kern w:val="2"/>
              </w:rPr>
              <w:t>松</w:t>
            </w:r>
            <w:r>
              <w:rPr>
                <w:rFonts w:hint="eastAsia"/>
                <w:color w:val="auto"/>
                <w:kern w:val="2"/>
                <w:lang w:eastAsia="zh-CN"/>
              </w:rPr>
              <w:t>新戊酸酯</w:t>
            </w:r>
            <w:r>
              <w:rPr>
                <w:rFonts w:hint="eastAsia"/>
                <w:color w:val="auto"/>
                <w:kern w:val="2"/>
              </w:rPr>
              <w:t>、</w:t>
            </w:r>
            <w:r>
              <w:rPr>
                <w:rFonts w:hint="eastAsia"/>
                <w:color w:val="auto"/>
                <w:kern w:val="2"/>
                <w:lang w:eastAsia="zh-CN"/>
              </w:rPr>
              <w:t>甲基</w:t>
            </w:r>
            <w:r>
              <w:rPr>
                <w:rFonts w:hint="eastAsia"/>
                <w:color w:val="auto"/>
                <w:kern w:val="2"/>
              </w:rPr>
              <w:t>泼尼松龙</w:t>
            </w:r>
            <w:r>
              <w:rPr>
                <w:rFonts w:hint="eastAsia"/>
                <w:color w:val="auto"/>
                <w:kern w:val="2"/>
                <w:lang w:eastAsia="zh-CN"/>
              </w:rPr>
              <w:t>琥珀酸钠等</w:t>
            </w:r>
            <w:r>
              <w:rPr>
                <w:rFonts w:hint="eastAsia"/>
                <w:color w:val="auto"/>
                <w:kern w:val="2"/>
              </w:rPr>
              <w:t>是公司原料药产品的下游高端衍生物，很多特色品种</w:t>
            </w:r>
            <w:r>
              <w:rPr>
                <w:rFonts w:hint="eastAsia"/>
                <w:color w:val="auto"/>
                <w:kern w:val="2"/>
                <w:lang w:eastAsia="zh-CN"/>
              </w:rPr>
              <w:t>近两年有效拓展了</w:t>
            </w:r>
            <w:r>
              <w:rPr>
                <w:rFonts w:hint="eastAsia"/>
                <w:color w:val="auto"/>
                <w:kern w:val="2"/>
              </w:rPr>
              <w:t>增量</w:t>
            </w:r>
            <w:r>
              <w:rPr>
                <w:rFonts w:hint="eastAsia"/>
                <w:color w:val="auto"/>
                <w:kern w:val="2"/>
                <w:lang w:eastAsia="zh-CN"/>
              </w:rPr>
              <w:t>市场</w:t>
            </w:r>
            <w:r>
              <w:rPr>
                <w:rFonts w:hint="eastAsia"/>
                <w:color w:val="auto"/>
                <w:kern w:val="2"/>
              </w:rPr>
              <w:t>。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  <w:highlight w:val="none"/>
              </w:rPr>
            </w:pPr>
            <w:r>
              <w:rPr>
                <w:rFonts w:hint="eastAsia"/>
                <w:color w:val="auto"/>
                <w:kern w:val="2"/>
              </w:rPr>
              <w:t>Newchem</w:t>
            </w:r>
            <w:r>
              <w:rPr>
                <w:rFonts w:hint="eastAsia"/>
                <w:color w:val="auto"/>
                <w:kern w:val="2"/>
                <w:lang w:eastAsia="zh-CN"/>
              </w:rPr>
              <w:t>公司目前生产经营政策，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在有序防控的基础上，保持稳定生产。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Newchem</w:t>
            </w:r>
            <w:r>
              <w:rPr>
                <w:rFonts w:hint="eastAsia"/>
                <w:color w:val="auto"/>
                <w:kern w:val="2"/>
                <w:lang w:eastAsia="zh-CN"/>
              </w:rPr>
              <w:t>公司</w:t>
            </w:r>
            <w:r>
              <w:rPr>
                <w:rFonts w:hint="eastAsia"/>
                <w:color w:val="auto"/>
                <w:kern w:val="2"/>
                <w:lang w:val="en-US" w:eastAsia="zh-CN"/>
              </w:rPr>
              <w:t>2020年</w:t>
            </w:r>
            <w:r>
              <w:rPr>
                <w:rFonts w:hint="eastAsia"/>
                <w:color w:val="auto"/>
                <w:kern w:val="2"/>
              </w:rPr>
              <w:t>核心品种的增速</w:t>
            </w:r>
            <w:r>
              <w:rPr>
                <w:rFonts w:hint="eastAsia"/>
                <w:color w:val="auto"/>
                <w:kern w:val="2"/>
                <w:lang w:eastAsia="zh-CN"/>
              </w:rPr>
              <w:t>比较</w:t>
            </w:r>
            <w:r>
              <w:rPr>
                <w:rFonts w:hint="eastAsia"/>
                <w:color w:val="auto"/>
                <w:kern w:val="2"/>
              </w:rPr>
              <w:t>理想，</w:t>
            </w:r>
            <w:r>
              <w:rPr>
                <w:rFonts w:hint="eastAsia"/>
                <w:color w:val="auto"/>
                <w:kern w:val="2"/>
                <w:lang w:eastAsia="zh-CN"/>
              </w:rPr>
              <w:t>核心</w:t>
            </w:r>
            <w:r>
              <w:rPr>
                <w:rFonts w:hint="eastAsia"/>
                <w:color w:val="auto"/>
                <w:kern w:val="2"/>
              </w:rPr>
              <w:t>品种</w:t>
            </w:r>
            <w:r>
              <w:rPr>
                <w:rFonts w:hint="eastAsia"/>
                <w:color w:val="auto"/>
                <w:kern w:val="2"/>
                <w:lang w:eastAsia="zh-CN"/>
              </w:rPr>
              <w:t>在国际目标</w:t>
            </w:r>
            <w:r>
              <w:rPr>
                <w:rFonts w:hint="eastAsia"/>
                <w:color w:val="auto"/>
                <w:kern w:val="2"/>
              </w:rPr>
              <w:t>市场开拓</w:t>
            </w:r>
            <w:r>
              <w:rPr>
                <w:rFonts w:hint="eastAsia"/>
                <w:color w:val="auto"/>
                <w:kern w:val="2"/>
                <w:lang w:eastAsia="zh-CN"/>
              </w:rPr>
              <w:t>顺利，</w:t>
            </w:r>
            <w:r>
              <w:rPr>
                <w:rFonts w:hint="eastAsia"/>
                <w:color w:val="auto"/>
                <w:kern w:val="2"/>
                <w:lang w:val="en-US" w:eastAsia="zh-CN"/>
              </w:rPr>
              <w:t>2021年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各项业务保持稳健向好态势</w:t>
            </w:r>
            <w:r>
              <w:rPr>
                <w:rFonts w:hint="eastAsia"/>
                <w:color w:val="auto"/>
                <w:kern w:val="2"/>
              </w:rPr>
              <w:t>。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国内新厂区和意大利工厂的协同已有序落实，</w:t>
            </w:r>
            <w:r>
              <w:rPr>
                <w:rFonts w:hint="eastAsia" w:eastAsiaTheme="majorEastAsia"/>
                <w:color w:val="auto"/>
                <w:kern w:val="2"/>
                <w:lang w:val="en-US" w:eastAsia="zh-CN"/>
              </w:rPr>
              <w:t>2020年已有两个产品实现商业化供货</w:t>
            </w:r>
            <w:r>
              <w:rPr>
                <w:rFonts w:hint="eastAsia"/>
                <w:color w:val="auto"/>
                <w:kern w:val="2"/>
              </w:rPr>
              <w:t>，</w:t>
            </w:r>
            <w:r>
              <w:rPr>
                <w:rFonts w:hint="eastAsia"/>
                <w:color w:val="auto"/>
                <w:kern w:val="2"/>
                <w:lang w:val="en-US" w:eastAsia="zh-CN"/>
              </w:rPr>
              <w:t>同时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Newchem公司对生产、质量、研发</w:t>
            </w:r>
            <w:r>
              <w:rPr>
                <w:rFonts w:hint="eastAsia"/>
                <w:color w:val="auto"/>
                <w:kern w:val="2"/>
              </w:rPr>
              <w:t>、QA、QC</w:t>
            </w:r>
            <w:r>
              <w:rPr>
                <w:rFonts w:hint="eastAsia"/>
                <w:color w:val="auto"/>
                <w:kern w:val="2"/>
                <w:lang w:eastAsia="zh-CN"/>
              </w:rPr>
              <w:t>等</w:t>
            </w:r>
            <w:r>
              <w:rPr>
                <w:rFonts w:hint="eastAsia"/>
                <w:color w:val="auto"/>
                <w:kern w:val="2"/>
              </w:rPr>
              <w:t>人员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进行了储备扩充，为Newchem公司的今后产能释放和</w:t>
            </w:r>
            <w:r>
              <w:rPr>
                <w:rFonts w:hint="eastAsia"/>
                <w:color w:val="auto"/>
                <w:kern w:val="2"/>
              </w:rPr>
              <w:t>未来2-</w:t>
            </w:r>
            <w:r>
              <w:rPr>
                <w:color w:val="auto"/>
                <w:kern w:val="2"/>
              </w:rPr>
              <w:t>3</w:t>
            </w:r>
            <w:r>
              <w:rPr>
                <w:rFonts w:hint="eastAsia"/>
                <w:color w:val="auto"/>
                <w:kern w:val="2"/>
              </w:rPr>
              <w:t>年的发展奠定了基础。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5、</w:t>
            </w:r>
            <w:r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公司毛利率有所下滑</w:t>
            </w:r>
            <w:r>
              <w:rPr>
                <w:rStyle w:val="6"/>
                <w:rFonts w:hint="eastAsia" w:ascii="宋体" w:hAnsi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的</w:t>
            </w:r>
            <w:r>
              <w:rPr>
                <w:rStyle w:val="6"/>
                <w:rFonts w:hint="eastAsia" w:ascii="宋体" w:hAnsi="宋体" w:eastAsia="宋体" w:cs="Times New Roman"/>
                <w:b/>
                <w:bCs w:val="0"/>
                <w:color w:val="auto"/>
                <w:kern w:val="2"/>
                <w:sz w:val="24"/>
                <w:szCs w:val="22"/>
                <w:lang w:val="en-US" w:eastAsia="zh-CN" w:bidi="ar-SA"/>
              </w:rPr>
              <w:t>原因</w:t>
            </w:r>
          </w:p>
          <w:p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eastAsia"/>
                <w:color w:val="auto"/>
                <w:kern w:val="2"/>
                <w:lang w:eastAsia="zh-CN"/>
              </w:rPr>
            </w:pPr>
            <w:r>
              <w:rPr>
                <w:rFonts w:hint="eastAsia"/>
                <w:color w:val="auto"/>
                <w:kern w:val="2"/>
                <w:lang w:val="en-US" w:eastAsia="zh-CN"/>
              </w:rPr>
              <w:t>2020年，</w:t>
            </w:r>
            <w:r>
              <w:rPr>
                <w:rFonts w:hint="eastAsia"/>
                <w:color w:val="auto"/>
                <w:kern w:val="2"/>
              </w:rPr>
              <w:t>公司毛利率</w:t>
            </w:r>
            <w:r>
              <w:rPr>
                <w:rFonts w:hint="eastAsia"/>
                <w:color w:val="auto"/>
                <w:kern w:val="2"/>
                <w:lang w:eastAsia="zh-CN"/>
              </w:rPr>
              <w:t>有所</w:t>
            </w:r>
            <w:r>
              <w:rPr>
                <w:rFonts w:hint="eastAsia"/>
                <w:color w:val="auto"/>
                <w:kern w:val="2"/>
              </w:rPr>
              <w:t>下滑主要有两个方面的</w:t>
            </w:r>
            <w:r>
              <w:rPr>
                <w:rFonts w:hint="eastAsia"/>
                <w:color w:val="auto"/>
                <w:kern w:val="2"/>
                <w:lang w:eastAsia="zh-CN"/>
              </w:rPr>
              <w:t>原因：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-480" w:leftChars="0" w:right="0" w:firstLine="480" w:firstLineChars="0"/>
              <w:rPr>
                <w:rFonts w:hint="eastAsia"/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  <w:lang w:eastAsia="zh-CN"/>
              </w:rPr>
              <w:t>杨府原料药</w:t>
            </w:r>
            <w:r>
              <w:rPr>
                <w:rFonts w:hint="eastAsia"/>
                <w:color w:val="auto"/>
                <w:kern w:val="2"/>
              </w:rPr>
              <w:t>新厂区落成的新增折旧</w:t>
            </w:r>
            <w:r>
              <w:rPr>
                <w:rFonts w:hint="eastAsia"/>
                <w:color w:val="auto"/>
                <w:kern w:val="2"/>
                <w:lang w:eastAsia="zh-CN"/>
              </w:rPr>
              <w:t>计入</w:t>
            </w:r>
            <w:r>
              <w:rPr>
                <w:rFonts w:hint="eastAsia"/>
                <w:color w:val="auto"/>
                <w:kern w:val="2"/>
              </w:rPr>
              <w:t>了生产</w:t>
            </w:r>
            <w:r>
              <w:rPr>
                <w:rFonts w:hint="eastAsia"/>
                <w:color w:val="auto"/>
                <w:kern w:val="2"/>
                <w:lang w:eastAsia="zh-CN"/>
              </w:rPr>
              <w:t>制造</w:t>
            </w:r>
            <w:r>
              <w:rPr>
                <w:rFonts w:hint="eastAsia"/>
                <w:color w:val="auto"/>
                <w:kern w:val="2"/>
              </w:rPr>
              <w:t>费用，对毛利率影响较大。</w:t>
            </w:r>
          </w:p>
          <w:p>
            <w:pPr>
              <w:pStyle w:val="1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60" w:lineRule="auto"/>
              <w:ind w:left="-480" w:leftChars="0" w:right="0" w:firstLine="480" w:firstLineChars="0"/>
              <w:rPr>
                <w:rFonts w:hint="eastAsia"/>
                <w:color w:val="auto"/>
                <w:kern w:val="2"/>
                <w:highlight w:val="none"/>
              </w:rPr>
            </w:pPr>
            <w:r>
              <w:rPr>
                <w:rFonts w:hint="eastAsia"/>
                <w:color w:val="auto"/>
                <w:kern w:val="2"/>
              </w:rPr>
              <w:t>新厂区对环保的要求</w:t>
            </w:r>
            <w:r>
              <w:rPr>
                <w:rFonts w:hint="eastAsia"/>
                <w:color w:val="auto"/>
                <w:kern w:val="2"/>
                <w:lang w:eastAsia="zh-CN"/>
              </w:rPr>
              <w:t>不断提升</w:t>
            </w:r>
            <w:r>
              <w:rPr>
                <w:rFonts w:hint="eastAsia"/>
                <w:color w:val="auto"/>
                <w:kern w:val="2"/>
              </w:rPr>
              <w:t>，</w:t>
            </w:r>
            <w:r>
              <w:rPr>
                <w:rFonts w:hint="eastAsia"/>
                <w:color w:val="auto"/>
                <w:kern w:val="2"/>
                <w:lang w:eastAsia="zh-CN"/>
              </w:rPr>
              <w:t>公司</w:t>
            </w:r>
            <w:r>
              <w:rPr>
                <w:rFonts w:hint="eastAsia"/>
                <w:color w:val="auto"/>
                <w:kern w:val="2"/>
              </w:rPr>
              <w:t>新增的环保成本</w:t>
            </w:r>
            <w:r>
              <w:rPr>
                <w:rFonts w:hint="eastAsia"/>
                <w:color w:val="auto"/>
                <w:kern w:val="2"/>
                <w:lang w:eastAsia="zh-CN"/>
              </w:rPr>
              <w:t>增加</w:t>
            </w:r>
            <w:r>
              <w:rPr>
                <w:rFonts w:hint="eastAsia"/>
                <w:color w:val="auto"/>
                <w:kern w:val="2"/>
              </w:rPr>
              <w:t>对毛利率产生较大影响。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ind w:left="0" w:right="0"/>
              <w:rPr>
                <w:rFonts w:hint="eastAsia"/>
                <w:color w:val="auto"/>
                <w:kern w:val="2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Style w:val="6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/>
                <w:bCs w:val="0"/>
                <w:color w:val="auto"/>
                <w:sz w:val="24"/>
                <w:szCs w:val="22"/>
                <w:lang w:val="en-US" w:eastAsia="zh-CN"/>
              </w:rPr>
              <w:t>6、国家集中带量采购政策对公司的影响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公司是原料药和制剂一体化企业，制剂产品以专科用药为主，拥有妇科计生、麻醉肌松、呼吸、皮肤、普药等众多产品群。随着</w:t>
            </w:r>
            <w:r>
              <w:rPr>
                <w:rStyle w:val="6"/>
                <w:rFonts w:hint="eastAsia" w:ascii="宋体" w:hAnsi="宋体"/>
                <w:bCs/>
                <w:iCs/>
                <w:color w:val="auto"/>
                <w:sz w:val="24"/>
                <w:szCs w:val="22"/>
                <w:lang w:val="en-US" w:eastAsia="zh-CN"/>
              </w:rPr>
              <w:t>“带量采购”政策在全国范围内的加快实施，公司将结合产品特点，抓住集采扩容和准入机会，快速应对市场变化，提高市场突破能力。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80" w:firstLineChars="200"/>
              <w:rPr>
                <w:rStyle w:val="6"/>
                <w:rFonts w:hint="default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  <w:t>从公司的角度，如果产品纳入集采收入端可能会有影响，基于多品类小品种的竞争特点，集采影响相对中性。公司列入计划的一致性评价品种22个，新仿制药品种18个，目前已经申报的一致性评价品种8个，新仿品种已申报4个，公司更多的精力会放在选优势产品，提高研发效率和快速商业化能力，以便在未来几年对公司有更多的贡献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Style w:val="6"/>
                <w:rFonts w:hint="eastAsia" w:ascii="宋体" w:hAnsi="宋体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附件清单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（如有）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Style w:val="6"/>
                <w:rFonts w:hint="eastAsia" w:ascii="宋体" w:hAnsi="宋体"/>
                <w:bCs/>
                <w:i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Style w:val="6"/>
                <w:rFonts w:ascii="宋体" w:hAnsi="宋体"/>
                <w:bCs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line="360" w:lineRule="auto"/>
        <w:ind w:firstLine="360"/>
        <w:jc w:val="left"/>
        <w:rPr>
          <w:rStyle w:val="6"/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60"/>
        <w:jc w:val="left"/>
        <w:rPr>
          <w:rStyle w:val="6"/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5BE89"/>
    <w:multiLevelType w:val="singleLevel"/>
    <w:tmpl w:val="9B55BE8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4D8D8FB6"/>
    <w:multiLevelType w:val="singleLevel"/>
    <w:tmpl w:val="4D8D8FB6"/>
    <w:lvl w:ilvl="0" w:tentative="0">
      <w:start w:val="1"/>
      <w:numFmt w:val="decimal"/>
      <w:suff w:val="nothing"/>
      <w:lvlText w:val="%1）"/>
      <w:lvlJc w:val="left"/>
      <w:pPr>
        <w:ind w:left="-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E"/>
    <w:rsid w:val="00103205"/>
    <w:rsid w:val="0022211E"/>
    <w:rsid w:val="00222F19"/>
    <w:rsid w:val="00387786"/>
    <w:rsid w:val="004678F9"/>
    <w:rsid w:val="00500DAB"/>
    <w:rsid w:val="00525F7E"/>
    <w:rsid w:val="006D7679"/>
    <w:rsid w:val="0076775C"/>
    <w:rsid w:val="007D35F5"/>
    <w:rsid w:val="00874952"/>
    <w:rsid w:val="009152F2"/>
    <w:rsid w:val="00A128E7"/>
    <w:rsid w:val="00A41C80"/>
    <w:rsid w:val="00AD38E6"/>
    <w:rsid w:val="00B408F7"/>
    <w:rsid w:val="00C80D76"/>
    <w:rsid w:val="00E3536B"/>
    <w:rsid w:val="00E5244D"/>
    <w:rsid w:val="00E55D97"/>
    <w:rsid w:val="00EB0518"/>
    <w:rsid w:val="00EB5DDB"/>
    <w:rsid w:val="00EE25F4"/>
    <w:rsid w:val="00F45868"/>
    <w:rsid w:val="00F93DC3"/>
    <w:rsid w:val="00FA1297"/>
    <w:rsid w:val="01D12014"/>
    <w:rsid w:val="07722652"/>
    <w:rsid w:val="07AD72A1"/>
    <w:rsid w:val="07B721C4"/>
    <w:rsid w:val="07DB5D29"/>
    <w:rsid w:val="07FB4EFE"/>
    <w:rsid w:val="08AE02DA"/>
    <w:rsid w:val="095F2057"/>
    <w:rsid w:val="09B3652D"/>
    <w:rsid w:val="09F314F4"/>
    <w:rsid w:val="0A6F58F6"/>
    <w:rsid w:val="0C7940D4"/>
    <w:rsid w:val="0C9E57F7"/>
    <w:rsid w:val="0CE60B1A"/>
    <w:rsid w:val="0DDE4CAA"/>
    <w:rsid w:val="0E800476"/>
    <w:rsid w:val="0FB156BD"/>
    <w:rsid w:val="10657407"/>
    <w:rsid w:val="108217C3"/>
    <w:rsid w:val="10D7047C"/>
    <w:rsid w:val="1183681F"/>
    <w:rsid w:val="124B7A44"/>
    <w:rsid w:val="140C6DF4"/>
    <w:rsid w:val="15384D03"/>
    <w:rsid w:val="155A173A"/>
    <w:rsid w:val="15B34797"/>
    <w:rsid w:val="16594008"/>
    <w:rsid w:val="176D6C54"/>
    <w:rsid w:val="17F21FE3"/>
    <w:rsid w:val="1A580077"/>
    <w:rsid w:val="1AD6537F"/>
    <w:rsid w:val="1C410F3F"/>
    <w:rsid w:val="1C5D4CAF"/>
    <w:rsid w:val="1EDE769F"/>
    <w:rsid w:val="1FB21834"/>
    <w:rsid w:val="1FFD6786"/>
    <w:rsid w:val="21564F9A"/>
    <w:rsid w:val="21C97537"/>
    <w:rsid w:val="23C632A7"/>
    <w:rsid w:val="24581CCD"/>
    <w:rsid w:val="24781640"/>
    <w:rsid w:val="253503CC"/>
    <w:rsid w:val="25C10A17"/>
    <w:rsid w:val="26261FAA"/>
    <w:rsid w:val="26D76EBD"/>
    <w:rsid w:val="27730FD9"/>
    <w:rsid w:val="280638E4"/>
    <w:rsid w:val="286E314E"/>
    <w:rsid w:val="29D5025B"/>
    <w:rsid w:val="2A1D5190"/>
    <w:rsid w:val="2AB904E7"/>
    <w:rsid w:val="2B431A20"/>
    <w:rsid w:val="2BDD4EED"/>
    <w:rsid w:val="2C67435E"/>
    <w:rsid w:val="2C87471B"/>
    <w:rsid w:val="2D6B3EA2"/>
    <w:rsid w:val="2E5734CA"/>
    <w:rsid w:val="2F5A7FAE"/>
    <w:rsid w:val="2F627A5E"/>
    <w:rsid w:val="2FA30ED7"/>
    <w:rsid w:val="2FCC165A"/>
    <w:rsid w:val="30B7290D"/>
    <w:rsid w:val="310F3589"/>
    <w:rsid w:val="315232A8"/>
    <w:rsid w:val="31B811EB"/>
    <w:rsid w:val="334C78F3"/>
    <w:rsid w:val="334F4417"/>
    <w:rsid w:val="33A97E17"/>
    <w:rsid w:val="345A2FBF"/>
    <w:rsid w:val="35B36817"/>
    <w:rsid w:val="37715371"/>
    <w:rsid w:val="3ABC7207"/>
    <w:rsid w:val="3AF864F7"/>
    <w:rsid w:val="3C9C321B"/>
    <w:rsid w:val="3D074BB8"/>
    <w:rsid w:val="3D6545D0"/>
    <w:rsid w:val="3EE52723"/>
    <w:rsid w:val="3EFB1733"/>
    <w:rsid w:val="3F6B2AC9"/>
    <w:rsid w:val="3FC1372E"/>
    <w:rsid w:val="3FE53EAE"/>
    <w:rsid w:val="40C82C05"/>
    <w:rsid w:val="413C5102"/>
    <w:rsid w:val="41462735"/>
    <w:rsid w:val="422541A4"/>
    <w:rsid w:val="42F46E82"/>
    <w:rsid w:val="44FF53F5"/>
    <w:rsid w:val="4540473C"/>
    <w:rsid w:val="46871672"/>
    <w:rsid w:val="485E1656"/>
    <w:rsid w:val="49905B5E"/>
    <w:rsid w:val="4ADB0EEB"/>
    <w:rsid w:val="4B824593"/>
    <w:rsid w:val="4E0060B5"/>
    <w:rsid w:val="4ECC4B5E"/>
    <w:rsid w:val="4F0C6CCB"/>
    <w:rsid w:val="4F3D71B4"/>
    <w:rsid w:val="4F5E514B"/>
    <w:rsid w:val="502F666B"/>
    <w:rsid w:val="50C72A73"/>
    <w:rsid w:val="51980AE0"/>
    <w:rsid w:val="524B6183"/>
    <w:rsid w:val="52CA7F2A"/>
    <w:rsid w:val="54392CD0"/>
    <w:rsid w:val="54875510"/>
    <w:rsid w:val="549E1CCA"/>
    <w:rsid w:val="553A50BF"/>
    <w:rsid w:val="5596331C"/>
    <w:rsid w:val="561E4D43"/>
    <w:rsid w:val="571D46CE"/>
    <w:rsid w:val="57EA044E"/>
    <w:rsid w:val="58776B90"/>
    <w:rsid w:val="589976A6"/>
    <w:rsid w:val="58C26D0C"/>
    <w:rsid w:val="597E34F4"/>
    <w:rsid w:val="5988574D"/>
    <w:rsid w:val="59AD2754"/>
    <w:rsid w:val="5A3D2B28"/>
    <w:rsid w:val="5B2B5F06"/>
    <w:rsid w:val="5B380D4A"/>
    <w:rsid w:val="5B834A31"/>
    <w:rsid w:val="5C071E4F"/>
    <w:rsid w:val="5C6F5ED9"/>
    <w:rsid w:val="5F457F38"/>
    <w:rsid w:val="5F62039E"/>
    <w:rsid w:val="63A42CAB"/>
    <w:rsid w:val="64987072"/>
    <w:rsid w:val="6520434C"/>
    <w:rsid w:val="65765787"/>
    <w:rsid w:val="66B82C7C"/>
    <w:rsid w:val="691B1209"/>
    <w:rsid w:val="69293B3A"/>
    <w:rsid w:val="6A14390F"/>
    <w:rsid w:val="6B9C475C"/>
    <w:rsid w:val="6BAE7BE2"/>
    <w:rsid w:val="6C0C58DC"/>
    <w:rsid w:val="6C7654C5"/>
    <w:rsid w:val="6CE33CC0"/>
    <w:rsid w:val="6D3C67FD"/>
    <w:rsid w:val="6DD877BE"/>
    <w:rsid w:val="6E4C581D"/>
    <w:rsid w:val="7136186B"/>
    <w:rsid w:val="71915879"/>
    <w:rsid w:val="740657A3"/>
    <w:rsid w:val="74267CE5"/>
    <w:rsid w:val="76ED507E"/>
    <w:rsid w:val="770C3160"/>
    <w:rsid w:val="778973E0"/>
    <w:rsid w:val="77F96A80"/>
    <w:rsid w:val="786D601E"/>
    <w:rsid w:val="78D74447"/>
    <w:rsid w:val="79EF3512"/>
    <w:rsid w:val="7BD8104D"/>
    <w:rsid w:val="7BDC09F1"/>
    <w:rsid w:val="7BF006F4"/>
    <w:rsid w:val="7D3B10C1"/>
    <w:rsid w:val="7E391F2F"/>
    <w:rsid w:val="7F64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UserStyle_0"/>
    <w:link w:val="9"/>
    <w:qFormat/>
    <w:uiPriority w:val="0"/>
    <w:rPr>
      <w:kern w:val="2"/>
      <w:sz w:val="18"/>
      <w:szCs w:val="18"/>
    </w:rPr>
  </w:style>
  <w:style w:type="paragraph" w:customStyle="1" w:styleId="9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1"/>
    <w:link w:val="11"/>
    <w:qFormat/>
    <w:uiPriority w:val="0"/>
    <w:rPr>
      <w:kern w:val="2"/>
      <w:sz w:val="18"/>
      <w:szCs w:val="18"/>
    </w:rPr>
  </w:style>
  <w:style w:type="paragraph" w:customStyle="1" w:styleId="11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character" w:customStyle="1" w:styleId="13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287</Words>
  <Characters>1641</Characters>
  <Lines>13</Lines>
  <Paragraphs>3</Paragraphs>
  <TotalTime>7</TotalTime>
  <ScaleCrop>false</ScaleCrop>
  <LinksUpToDate>false</LinksUpToDate>
  <CharactersWithSpaces>1925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2019-10-30T07:33:00Z</dcterms:created>
  <dc:creator>XJ-CJ3-21</dc:creator>
  <cp:lastModifiedBy>九日</cp:lastModifiedBy>
  <cp:lastPrinted>2021-03-03T06:12:00Z</cp:lastPrinted>
  <dcterms:modified xsi:type="dcterms:W3CDTF">2021-04-29T09:03:36Z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1B9F6AEB40454E51A141DED3945550C5</vt:lpwstr>
  </property>
</Properties>
</file>