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after="156" w:line="400" w:lineRule="exact"/>
        <w:ind w:firstLine="720" w:firstLineChars="300"/>
        <w:rPr>
          <w:rStyle w:val="7"/>
          <w:rFonts w:ascii="宋体" w:hAnsi="宋体"/>
          <w:bCs/>
          <w:iCs/>
          <w:color w:val="000000"/>
          <w:sz w:val="24"/>
        </w:rPr>
      </w:pPr>
      <w:r>
        <w:rPr>
          <w:rStyle w:val="7"/>
          <w:rFonts w:ascii="宋体" w:hAnsi="宋体"/>
          <w:bCs/>
          <w:iCs/>
          <w:color w:val="000000"/>
          <w:sz w:val="24"/>
        </w:rPr>
        <w:t>证券代码：002332                  证券简称：仙琚制药</w:t>
      </w:r>
    </w:p>
    <w:p>
      <w:pPr>
        <w:spacing w:before="156" w:after="156" w:line="400" w:lineRule="exact"/>
        <w:ind w:firstLine="720" w:firstLineChars="300"/>
        <w:rPr>
          <w:rStyle w:val="7"/>
          <w:rFonts w:ascii="宋体" w:hAnsi="宋体"/>
          <w:bCs/>
          <w:iCs/>
          <w:color w:val="000000"/>
          <w:sz w:val="24"/>
        </w:rPr>
      </w:pPr>
    </w:p>
    <w:p>
      <w:pPr>
        <w:spacing w:before="156" w:after="156" w:line="400" w:lineRule="exact"/>
        <w:jc w:val="center"/>
        <w:rPr>
          <w:rStyle w:val="7"/>
          <w:rFonts w:ascii="宋体" w:hAnsi="宋体"/>
          <w:b/>
          <w:bCs/>
          <w:iCs/>
          <w:color w:val="000000"/>
          <w:sz w:val="32"/>
          <w:szCs w:val="32"/>
        </w:rPr>
      </w:pPr>
      <w:r>
        <w:rPr>
          <w:rStyle w:val="7"/>
          <w:rFonts w:ascii="宋体" w:hAnsi="宋体"/>
          <w:b/>
          <w:bCs/>
          <w:iCs/>
          <w:color w:val="000000"/>
          <w:sz w:val="32"/>
          <w:szCs w:val="32"/>
        </w:rPr>
        <w:t>浙江仙琚制药股份有限公司投资者关系活动记录表</w:t>
      </w:r>
    </w:p>
    <w:p>
      <w:pPr>
        <w:spacing w:line="400" w:lineRule="exact"/>
        <w:rPr>
          <w:rStyle w:val="7"/>
          <w:rFonts w:ascii="宋体" w:hAnsi="宋体"/>
          <w:bCs/>
          <w:iCs/>
          <w:color w:val="FF0000"/>
          <w:sz w:val="24"/>
        </w:rPr>
      </w:pPr>
      <w:r>
        <w:rPr>
          <w:rStyle w:val="7"/>
          <w:rFonts w:ascii="宋体" w:hAnsi="宋体"/>
          <w:bCs/>
          <w:iCs/>
          <w:color w:val="000000"/>
          <w:sz w:val="24"/>
        </w:rPr>
        <w:t xml:space="preserve">                                                      编号：20</w:t>
      </w:r>
      <w:r>
        <w:rPr>
          <w:rStyle w:val="7"/>
          <w:rFonts w:hint="eastAsia" w:ascii="宋体" w:hAnsi="宋体"/>
          <w:bCs/>
          <w:iCs/>
          <w:color w:val="000000"/>
          <w:sz w:val="24"/>
        </w:rPr>
        <w:t>21</w:t>
      </w:r>
      <w:r>
        <w:rPr>
          <w:rStyle w:val="7"/>
          <w:rFonts w:ascii="宋体" w:hAnsi="宋体"/>
          <w:bCs/>
          <w:iCs/>
          <w:color w:val="000000"/>
          <w:sz w:val="24"/>
        </w:rPr>
        <w:t>-0</w:t>
      </w:r>
      <w:r>
        <w:rPr>
          <w:rStyle w:val="7"/>
          <w:rFonts w:hint="eastAsia" w:ascii="宋体" w:hAnsi="宋体"/>
          <w:bCs/>
          <w:iCs/>
          <w:sz w:val="24"/>
        </w:rPr>
        <w:t>07</w:t>
      </w:r>
    </w:p>
    <w:tbl>
      <w:tblPr>
        <w:tblStyle w:val="5"/>
        <w:tblW w:w="802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6"/>
        <w:gridCol w:w="6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766" w:type="dxa"/>
            <w:tcBorders>
              <w:top w:val="single" w:color="000000" w:sz="4" w:space="0"/>
              <w:left w:val="single" w:color="000000" w:sz="4" w:space="0"/>
              <w:bottom w:val="single" w:color="000000" w:sz="4" w:space="0"/>
              <w:right w:val="single" w:color="000000" w:sz="4" w:space="0"/>
            </w:tcBorders>
          </w:tcPr>
          <w:p>
            <w:pPr>
              <w:spacing w:line="480" w:lineRule="atLeast"/>
              <w:rPr>
                <w:rStyle w:val="7"/>
                <w:rFonts w:ascii="宋体" w:hAnsi="宋体"/>
                <w:b/>
                <w:bCs/>
                <w:iCs/>
                <w:color w:val="000000"/>
                <w:sz w:val="24"/>
              </w:rPr>
            </w:pPr>
            <w:r>
              <w:rPr>
                <w:rStyle w:val="7"/>
                <w:rFonts w:ascii="宋体" w:hAnsi="宋体"/>
                <w:b/>
                <w:bCs/>
                <w:iCs/>
                <w:color w:val="000000"/>
                <w:sz w:val="24"/>
              </w:rPr>
              <w:t>投资者关系</w:t>
            </w:r>
          </w:p>
          <w:p>
            <w:pPr>
              <w:spacing w:line="480" w:lineRule="atLeast"/>
              <w:rPr>
                <w:rStyle w:val="7"/>
                <w:rFonts w:ascii="宋体" w:hAnsi="宋体"/>
                <w:b/>
                <w:bCs/>
                <w:iCs/>
                <w:color w:val="000000"/>
                <w:sz w:val="24"/>
              </w:rPr>
            </w:pPr>
            <w:r>
              <w:rPr>
                <w:rStyle w:val="7"/>
                <w:rFonts w:ascii="宋体" w:hAnsi="宋体"/>
                <w:b/>
                <w:bCs/>
                <w:iCs/>
                <w:color w:val="000000"/>
                <w:sz w:val="24"/>
              </w:rPr>
              <w:t>活动类别</w:t>
            </w:r>
          </w:p>
          <w:p>
            <w:pPr>
              <w:spacing w:line="480" w:lineRule="atLeast"/>
              <w:rPr>
                <w:rStyle w:val="7"/>
                <w:rFonts w:ascii="宋体" w:hAnsi="宋体"/>
                <w:b/>
                <w:bCs/>
                <w:iCs/>
                <w:color w:val="000000"/>
                <w:sz w:val="24"/>
              </w:rPr>
            </w:pPr>
          </w:p>
        </w:tc>
        <w:tc>
          <w:tcPr>
            <w:tcW w:w="6261" w:type="dxa"/>
            <w:tcBorders>
              <w:top w:val="single" w:color="000000" w:sz="4" w:space="0"/>
              <w:left w:val="single" w:color="000000" w:sz="4" w:space="0"/>
              <w:bottom w:val="single" w:color="000000" w:sz="4" w:space="0"/>
              <w:right w:val="single" w:color="000000" w:sz="4" w:space="0"/>
            </w:tcBorders>
          </w:tcPr>
          <w:p>
            <w:pPr>
              <w:spacing w:line="480" w:lineRule="atLeast"/>
              <w:rPr>
                <w:rStyle w:val="7"/>
                <w:rFonts w:ascii="宋体" w:hAnsi="宋体"/>
                <w:bCs/>
                <w:iCs/>
                <w:color w:val="000000"/>
                <w:sz w:val="24"/>
              </w:rPr>
            </w:pPr>
            <w:r>
              <w:rPr>
                <w:rStyle w:val="7"/>
                <w:rFonts w:ascii="宋体" w:hAnsi="宋体"/>
                <w:bCs/>
                <w:iCs/>
                <w:color w:val="000000"/>
                <w:sz w:val="24"/>
              </w:rPr>
              <w:sym w:font="Wingdings 2" w:char="00A3"/>
            </w:r>
            <w:r>
              <w:rPr>
                <w:rStyle w:val="7"/>
                <w:rFonts w:ascii="宋体" w:hAnsi="宋体"/>
                <w:sz w:val="24"/>
              </w:rPr>
              <w:t xml:space="preserve">特定对象调研       </w:t>
            </w:r>
            <w:r>
              <w:rPr>
                <w:rStyle w:val="7"/>
                <w:rFonts w:ascii="宋体" w:hAnsi="宋体"/>
                <w:bCs/>
                <w:iCs/>
                <w:color w:val="000000"/>
                <w:sz w:val="24"/>
              </w:rPr>
              <w:t>□</w:t>
            </w:r>
            <w:r>
              <w:rPr>
                <w:rStyle w:val="7"/>
                <w:rFonts w:ascii="宋体" w:hAnsi="宋体"/>
                <w:sz w:val="24"/>
              </w:rPr>
              <w:t>分析师会议</w:t>
            </w:r>
          </w:p>
          <w:p>
            <w:pPr>
              <w:spacing w:line="480" w:lineRule="atLeast"/>
              <w:rPr>
                <w:rStyle w:val="7"/>
                <w:rFonts w:ascii="宋体" w:hAnsi="宋体"/>
                <w:bCs/>
                <w:iCs/>
                <w:color w:val="000000"/>
                <w:sz w:val="24"/>
              </w:rPr>
            </w:pPr>
            <w:r>
              <w:rPr>
                <w:rStyle w:val="7"/>
                <w:rFonts w:ascii="宋体" w:hAnsi="宋体"/>
                <w:bCs/>
                <w:iCs/>
                <w:color w:val="000000"/>
                <w:sz w:val="24"/>
              </w:rPr>
              <w:sym w:font="Wingdings 2" w:char="00A3"/>
            </w:r>
            <w:r>
              <w:rPr>
                <w:rStyle w:val="7"/>
                <w:rFonts w:ascii="宋体" w:hAnsi="宋体"/>
                <w:sz w:val="24"/>
              </w:rPr>
              <w:t xml:space="preserve">媒体采访           </w:t>
            </w:r>
            <w:r>
              <w:rPr>
                <w:rStyle w:val="7"/>
                <w:rFonts w:ascii="宋体" w:hAnsi="宋体"/>
                <w:bCs/>
                <w:iCs/>
                <w:color w:val="000000"/>
                <w:sz w:val="24"/>
              </w:rPr>
              <w:t>□</w:t>
            </w:r>
            <w:r>
              <w:rPr>
                <w:rStyle w:val="7"/>
                <w:rFonts w:ascii="宋体" w:hAnsi="宋体"/>
                <w:sz w:val="24"/>
              </w:rPr>
              <w:t>业绩说明会</w:t>
            </w:r>
          </w:p>
          <w:p>
            <w:pPr>
              <w:spacing w:line="480" w:lineRule="atLeast"/>
              <w:rPr>
                <w:rStyle w:val="7"/>
                <w:rFonts w:ascii="宋体" w:hAnsi="宋体"/>
                <w:bCs/>
                <w:iCs/>
                <w:color w:val="000000"/>
                <w:sz w:val="24"/>
              </w:rPr>
            </w:pPr>
            <w:r>
              <w:rPr>
                <w:rStyle w:val="7"/>
                <w:rFonts w:ascii="宋体" w:hAnsi="宋体"/>
                <w:bCs/>
                <w:iCs/>
                <w:color w:val="000000"/>
                <w:sz w:val="24"/>
              </w:rPr>
              <w:t>□</w:t>
            </w:r>
            <w:r>
              <w:rPr>
                <w:rStyle w:val="7"/>
                <w:rFonts w:ascii="宋体" w:hAnsi="宋体"/>
                <w:sz w:val="24"/>
              </w:rPr>
              <w:t xml:space="preserve">新闻发布会         </w:t>
            </w:r>
            <w:r>
              <w:rPr>
                <w:rStyle w:val="7"/>
                <w:rFonts w:ascii="宋体" w:hAnsi="宋体"/>
                <w:bCs/>
                <w:iCs/>
                <w:color w:val="000000"/>
                <w:sz w:val="24"/>
              </w:rPr>
              <w:t>□</w:t>
            </w:r>
            <w:r>
              <w:rPr>
                <w:rStyle w:val="7"/>
                <w:rFonts w:ascii="宋体" w:hAnsi="宋体"/>
                <w:sz w:val="24"/>
              </w:rPr>
              <w:t>路演活动</w:t>
            </w:r>
          </w:p>
          <w:p>
            <w:pPr>
              <w:tabs>
                <w:tab w:val="center" w:pos="3199"/>
              </w:tabs>
              <w:spacing w:line="480" w:lineRule="atLeast"/>
              <w:rPr>
                <w:rStyle w:val="7"/>
                <w:rFonts w:ascii="宋体" w:hAnsi="宋体"/>
                <w:bCs/>
                <w:iCs/>
                <w:color w:val="000000"/>
                <w:sz w:val="24"/>
              </w:rPr>
            </w:pPr>
            <w:r>
              <w:rPr>
                <w:rStyle w:val="7"/>
                <w:rFonts w:ascii="宋体" w:hAnsi="宋体"/>
                <w:bCs/>
                <w:iCs/>
                <w:color w:val="000000"/>
                <w:sz w:val="24"/>
              </w:rPr>
              <w:t>□</w:t>
            </w:r>
            <w:r>
              <w:rPr>
                <w:rStyle w:val="7"/>
                <w:rFonts w:ascii="宋体" w:hAnsi="宋体"/>
                <w:sz w:val="24"/>
              </w:rPr>
              <w:t>现场参观</w:t>
            </w:r>
            <w:r>
              <w:rPr>
                <w:rStyle w:val="7"/>
                <w:rFonts w:hint="eastAsia" w:ascii="宋体" w:hAnsi="宋体"/>
                <w:sz w:val="24"/>
                <w:lang w:val="en-US" w:eastAsia="zh-CN"/>
              </w:rPr>
              <w:t xml:space="preserve">           </w:t>
            </w:r>
            <w:bookmarkStart w:id="0" w:name="_GoBack"/>
            <w:bookmarkEnd w:id="0"/>
            <w:r>
              <w:rPr>
                <w:rStyle w:val="7"/>
                <w:rFonts w:ascii="宋体" w:hAnsi="宋体"/>
                <w:bCs/>
                <w:iCs/>
                <w:color w:val="000000"/>
                <w:sz w:val="24"/>
              </w:rPr>
              <w:sym w:font="Wingdings 2" w:char="0052"/>
            </w:r>
            <w:r>
              <w:rPr>
                <w:rStyle w:val="7"/>
                <w:rFonts w:ascii="宋体" w:hAnsi="宋体"/>
                <w:sz w:val="24"/>
              </w:rPr>
              <w:t xml:space="preserve">其他 </w:t>
            </w:r>
            <w:r>
              <w:rPr>
                <w:rStyle w:val="7"/>
                <w:rFonts w:ascii="宋体" w:hAnsi="宋体"/>
                <w:sz w:val="24"/>
                <w:szCs w:val="22"/>
              </w:rPr>
              <w:t>电话会议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766" w:type="dxa"/>
            <w:tcBorders>
              <w:top w:val="single" w:color="000000" w:sz="4" w:space="0"/>
              <w:left w:val="single" w:color="000000" w:sz="4" w:space="0"/>
              <w:bottom w:val="single" w:color="000000" w:sz="4" w:space="0"/>
              <w:right w:val="single" w:color="000000" w:sz="4" w:space="0"/>
            </w:tcBorders>
          </w:tcPr>
          <w:p>
            <w:pPr>
              <w:spacing w:line="480" w:lineRule="atLeast"/>
              <w:rPr>
                <w:rStyle w:val="7"/>
                <w:rFonts w:ascii="宋体" w:hAnsi="宋体"/>
                <w:b/>
                <w:bCs/>
                <w:iCs/>
                <w:color w:val="000000"/>
                <w:sz w:val="24"/>
              </w:rPr>
            </w:pPr>
            <w:r>
              <w:rPr>
                <w:rStyle w:val="7"/>
                <w:rFonts w:ascii="宋体" w:hAnsi="宋体"/>
                <w:b/>
                <w:bCs/>
                <w:iCs/>
                <w:color w:val="000000"/>
                <w:sz w:val="24"/>
              </w:rPr>
              <w:t>参与单位名称</w:t>
            </w:r>
          </w:p>
        </w:tc>
        <w:tc>
          <w:tcPr>
            <w:tcW w:w="6261" w:type="dxa"/>
            <w:tcBorders>
              <w:top w:val="single" w:color="000000" w:sz="4" w:space="0"/>
              <w:left w:val="single" w:color="000000" w:sz="4" w:space="0"/>
              <w:bottom w:val="single" w:color="000000" w:sz="4" w:space="0"/>
              <w:right w:val="single" w:color="000000" w:sz="4" w:space="0"/>
            </w:tcBorders>
          </w:tcPr>
          <w:p>
            <w:pPr>
              <w:spacing w:line="360" w:lineRule="auto"/>
              <w:rPr>
                <w:rStyle w:val="7"/>
                <w:rFonts w:ascii="宋体" w:hAnsi="宋体"/>
                <w:bCs/>
                <w:iCs/>
                <w:color w:val="000000" w:themeColor="text1"/>
                <w:sz w:val="24"/>
              </w:rPr>
            </w:pPr>
            <w:r>
              <w:rPr>
                <w:rStyle w:val="7"/>
                <w:rFonts w:hint="eastAsia" w:ascii="宋体" w:hAnsi="宋体"/>
                <w:bCs/>
                <w:iCs/>
                <w:color w:val="000000" w:themeColor="text1"/>
                <w:sz w:val="24"/>
              </w:rPr>
              <w:t>华创医药   浙商医药    中泰医药   长江医药</w:t>
            </w:r>
          </w:p>
          <w:p>
            <w:pPr>
              <w:spacing w:line="360" w:lineRule="auto"/>
              <w:rPr>
                <w:rStyle w:val="7"/>
                <w:rFonts w:ascii="宋体" w:hAnsi="宋体"/>
                <w:bCs/>
                <w:iCs/>
                <w:color w:val="000000" w:themeColor="text1"/>
                <w:sz w:val="24"/>
              </w:rPr>
            </w:pPr>
            <w:r>
              <w:rPr>
                <w:rStyle w:val="7"/>
                <w:rFonts w:ascii="宋体" w:hAnsi="宋体"/>
                <w:bCs/>
                <w:iCs/>
                <w:color w:val="000000" w:themeColor="text1"/>
                <w:sz w:val="24"/>
              </w:rPr>
              <w:t>朱雀基金</w:t>
            </w:r>
            <w:r>
              <w:rPr>
                <w:rStyle w:val="7"/>
                <w:rFonts w:hint="eastAsia" w:ascii="宋体" w:hAnsi="宋体"/>
                <w:bCs/>
                <w:iCs/>
                <w:color w:val="000000" w:themeColor="text1"/>
                <w:sz w:val="24"/>
              </w:rPr>
              <w:t xml:space="preserve">   重阳投资    中再资产   中银证券</w:t>
            </w:r>
          </w:p>
          <w:p>
            <w:pPr>
              <w:spacing w:line="360" w:lineRule="auto"/>
              <w:rPr>
                <w:rStyle w:val="7"/>
                <w:rFonts w:hint="eastAsia" w:ascii="宋体" w:hAnsi="宋体"/>
                <w:bCs/>
                <w:iCs/>
                <w:color w:val="000000" w:themeColor="text1"/>
                <w:sz w:val="24"/>
              </w:rPr>
            </w:pPr>
            <w:r>
              <w:rPr>
                <w:rStyle w:val="7"/>
                <w:rFonts w:hint="eastAsia" w:ascii="宋体" w:hAnsi="宋体"/>
                <w:bCs/>
                <w:iCs/>
                <w:color w:val="000000" w:themeColor="text1"/>
                <w:sz w:val="24"/>
              </w:rPr>
              <w:t>高毅资产   兴全基金    大成基金</w:t>
            </w:r>
            <w:r>
              <w:rPr>
                <w:rStyle w:val="7"/>
                <w:rFonts w:hint="eastAsia" w:ascii="宋体" w:hAnsi="宋体"/>
                <w:bCs/>
                <w:iCs/>
                <w:color w:val="000000" w:themeColor="text1"/>
                <w:sz w:val="24"/>
                <w:lang w:val="en-US" w:eastAsia="zh-CN"/>
              </w:rPr>
              <w:t xml:space="preserve">   </w:t>
            </w:r>
            <w:r>
              <w:rPr>
                <w:rStyle w:val="7"/>
                <w:rFonts w:hint="eastAsia" w:ascii="宋体" w:hAnsi="宋体"/>
                <w:bCs/>
                <w:iCs/>
                <w:color w:val="000000" w:themeColor="text1"/>
                <w:sz w:val="24"/>
              </w:rPr>
              <w:t xml:space="preserve">淡水泉投资 </w:t>
            </w:r>
          </w:p>
          <w:p>
            <w:pPr>
              <w:spacing w:line="360" w:lineRule="auto"/>
              <w:rPr>
                <w:rStyle w:val="7"/>
                <w:rFonts w:ascii="宋体" w:hAnsi="宋体"/>
                <w:bCs/>
                <w:iCs/>
                <w:color w:val="000000" w:themeColor="text1"/>
                <w:sz w:val="24"/>
              </w:rPr>
            </w:pPr>
            <w:r>
              <w:rPr>
                <w:rStyle w:val="7"/>
                <w:rFonts w:ascii="宋体" w:hAnsi="宋体"/>
                <w:bCs/>
                <w:iCs/>
                <w:color w:val="000000" w:themeColor="text1"/>
                <w:sz w:val="24"/>
              </w:rPr>
              <w:t>中泰资管</w:t>
            </w:r>
            <w:r>
              <w:rPr>
                <w:rStyle w:val="7"/>
                <w:rFonts w:hint="eastAsia" w:ascii="宋体" w:hAnsi="宋体"/>
                <w:bCs/>
                <w:iCs/>
                <w:color w:val="000000" w:themeColor="text1"/>
                <w:sz w:val="24"/>
              </w:rPr>
              <w:t xml:space="preserve">   中泰证券    中金基金   中融国际信托</w:t>
            </w:r>
          </w:p>
          <w:p>
            <w:pPr>
              <w:spacing w:line="360" w:lineRule="auto"/>
              <w:rPr>
                <w:rStyle w:val="7"/>
                <w:rFonts w:ascii="宋体" w:hAnsi="宋体"/>
                <w:bCs/>
                <w:iCs/>
                <w:color w:val="000000" w:themeColor="text1"/>
                <w:sz w:val="24"/>
              </w:rPr>
            </w:pPr>
            <w:r>
              <w:rPr>
                <w:rStyle w:val="7"/>
                <w:rFonts w:ascii="宋体" w:hAnsi="宋体"/>
                <w:bCs/>
                <w:iCs/>
                <w:color w:val="000000" w:themeColor="text1"/>
                <w:sz w:val="24"/>
              </w:rPr>
              <w:t>浙商基金</w:t>
            </w:r>
            <w:r>
              <w:rPr>
                <w:rStyle w:val="7"/>
                <w:rFonts w:hint="eastAsia" w:ascii="宋体" w:hAnsi="宋体"/>
                <w:bCs/>
                <w:iCs/>
                <w:color w:val="000000" w:themeColor="text1"/>
                <w:sz w:val="24"/>
              </w:rPr>
              <w:t xml:space="preserve">   浙商研究所  长江证券   源乘投资</w:t>
            </w:r>
          </w:p>
          <w:p>
            <w:pPr>
              <w:spacing w:line="360" w:lineRule="auto"/>
              <w:rPr>
                <w:rStyle w:val="7"/>
                <w:rFonts w:ascii="宋体" w:hAnsi="宋体"/>
                <w:bCs/>
                <w:iCs/>
                <w:color w:val="000000" w:themeColor="text1"/>
                <w:sz w:val="24"/>
              </w:rPr>
            </w:pPr>
            <w:r>
              <w:rPr>
                <w:rStyle w:val="7"/>
                <w:rFonts w:hint="eastAsia" w:ascii="宋体" w:hAnsi="宋体"/>
                <w:bCs/>
                <w:iCs/>
                <w:color w:val="000000" w:themeColor="text1"/>
                <w:sz w:val="24"/>
              </w:rPr>
              <w:t>誉辉资本   永赢基金    银河基金   阳光保险</w:t>
            </w:r>
          </w:p>
          <w:p>
            <w:pPr>
              <w:spacing w:line="360" w:lineRule="auto"/>
              <w:rPr>
                <w:rStyle w:val="7"/>
                <w:rFonts w:ascii="宋体" w:hAnsi="宋体"/>
                <w:bCs/>
                <w:iCs/>
                <w:color w:val="000000" w:themeColor="text1"/>
                <w:sz w:val="24"/>
              </w:rPr>
            </w:pPr>
            <w:r>
              <w:rPr>
                <w:rStyle w:val="7"/>
                <w:rFonts w:ascii="宋体" w:hAnsi="宋体"/>
                <w:bCs/>
                <w:iCs/>
                <w:color w:val="000000" w:themeColor="text1"/>
                <w:sz w:val="24"/>
              </w:rPr>
              <w:t>兴业基金</w:t>
            </w:r>
            <w:r>
              <w:rPr>
                <w:rStyle w:val="7"/>
                <w:rFonts w:hint="eastAsia" w:ascii="宋体" w:hAnsi="宋体"/>
                <w:bCs/>
                <w:iCs/>
                <w:color w:val="000000" w:themeColor="text1"/>
                <w:sz w:val="24"/>
              </w:rPr>
              <w:t xml:space="preserve">   星石投资    西部利得  通晟资产</w:t>
            </w:r>
          </w:p>
          <w:p>
            <w:pPr>
              <w:spacing w:line="360" w:lineRule="auto"/>
              <w:rPr>
                <w:rStyle w:val="7"/>
                <w:rFonts w:ascii="宋体" w:hAnsi="宋体"/>
                <w:bCs/>
                <w:iCs/>
                <w:color w:val="000000" w:themeColor="text1"/>
                <w:sz w:val="24"/>
              </w:rPr>
            </w:pPr>
            <w:r>
              <w:rPr>
                <w:rStyle w:val="7"/>
                <w:rFonts w:ascii="宋体" w:hAnsi="宋体"/>
                <w:bCs/>
                <w:iCs/>
                <w:color w:val="000000" w:themeColor="text1"/>
                <w:sz w:val="24"/>
              </w:rPr>
              <w:t>天弘基金</w:t>
            </w:r>
            <w:r>
              <w:rPr>
                <w:rStyle w:val="7"/>
                <w:rFonts w:hint="eastAsia" w:ascii="宋体" w:hAnsi="宋体"/>
                <w:bCs/>
                <w:iCs/>
                <w:color w:val="000000" w:themeColor="text1"/>
                <w:sz w:val="24"/>
              </w:rPr>
              <w:t xml:space="preserve">   天安人寿    泰康资产   太平基金</w:t>
            </w:r>
          </w:p>
          <w:p>
            <w:pPr>
              <w:spacing w:line="360" w:lineRule="auto"/>
              <w:rPr>
                <w:rStyle w:val="7"/>
                <w:rFonts w:ascii="宋体" w:hAnsi="宋体"/>
                <w:bCs/>
                <w:iCs/>
                <w:color w:val="000000" w:themeColor="text1"/>
                <w:sz w:val="24"/>
              </w:rPr>
            </w:pPr>
            <w:r>
              <w:rPr>
                <w:rStyle w:val="7"/>
                <w:rFonts w:ascii="宋体" w:hAnsi="宋体"/>
                <w:bCs/>
                <w:iCs/>
                <w:color w:val="000000" w:themeColor="text1"/>
                <w:sz w:val="24"/>
              </w:rPr>
              <w:t>盛宇投资</w:t>
            </w:r>
            <w:r>
              <w:rPr>
                <w:rStyle w:val="7"/>
                <w:rFonts w:hint="eastAsia" w:ascii="宋体" w:hAnsi="宋体"/>
                <w:bCs/>
                <w:iCs/>
                <w:color w:val="000000" w:themeColor="text1"/>
                <w:sz w:val="24"/>
              </w:rPr>
              <w:t xml:space="preserve">   慎知资产    翼虎投资   启元财富</w:t>
            </w:r>
          </w:p>
          <w:p>
            <w:pPr>
              <w:spacing w:line="360" w:lineRule="auto"/>
              <w:rPr>
                <w:rStyle w:val="7"/>
                <w:rFonts w:ascii="宋体" w:hAnsi="宋体"/>
                <w:bCs/>
                <w:iCs/>
                <w:color w:val="000000" w:themeColor="text1"/>
                <w:sz w:val="24"/>
              </w:rPr>
            </w:pPr>
            <w:r>
              <w:rPr>
                <w:rStyle w:val="7"/>
                <w:rFonts w:ascii="宋体" w:hAnsi="宋体"/>
                <w:bCs/>
                <w:iCs/>
                <w:color w:val="000000" w:themeColor="text1"/>
                <w:sz w:val="24"/>
              </w:rPr>
              <w:t>金友创智</w:t>
            </w:r>
            <w:r>
              <w:rPr>
                <w:rStyle w:val="7"/>
                <w:rFonts w:hint="eastAsia" w:ascii="宋体" w:hAnsi="宋体"/>
                <w:bCs/>
                <w:iCs/>
                <w:color w:val="000000" w:themeColor="text1"/>
                <w:sz w:val="24"/>
              </w:rPr>
              <w:t xml:space="preserve">   上汽颀臻    蠡慧投资   善庆资产</w:t>
            </w:r>
          </w:p>
          <w:p>
            <w:pPr>
              <w:spacing w:line="360" w:lineRule="auto"/>
              <w:rPr>
                <w:rStyle w:val="7"/>
                <w:rFonts w:ascii="宋体" w:hAnsi="宋体"/>
                <w:bCs/>
                <w:iCs/>
                <w:color w:val="000000" w:themeColor="text1"/>
                <w:sz w:val="24"/>
              </w:rPr>
            </w:pPr>
            <w:r>
              <w:rPr>
                <w:rStyle w:val="7"/>
                <w:rFonts w:ascii="宋体" w:hAnsi="宋体"/>
                <w:bCs/>
                <w:iCs/>
                <w:color w:val="000000" w:themeColor="text1"/>
                <w:sz w:val="24"/>
              </w:rPr>
              <w:t>沙钢投资</w:t>
            </w:r>
            <w:r>
              <w:rPr>
                <w:rStyle w:val="7"/>
                <w:rFonts w:hint="eastAsia" w:ascii="宋体" w:hAnsi="宋体"/>
                <w:bCs/>
                <w:iCs/>
                <w:color w:val="000000" w:themeColor="text1"/>
                <w:sz w:val="24"/>
              </w:rPr>
              <w:t xml:space="preserve">   诺德基金    九泰基金   财通证券 </w:t>
            </w:r>
          </w:p>
          <w:p>
            <w:pPr>
              <w:spacing w:line="360" w:lineRule="auto"/>
              <w:rPr>
                <w:rStyle w:val="7"/>
                <w:rFonts w:ascii="宋体" w:hAnsi="宋体"/>
                <w:bCs/>
                <w:iCs/>
                <w:color w:val="000000" w:themeColor="text1"/>
                <w:sz w:val="24"/>
              </w:rPr>
            </w:pPr>
            <w:r>
              <w:rPr>
                <w:rStyle w:val="7"/>
                <w:rFonts w:ascii="宋体" w:hAnsi="宋体"/>
                <w:bCs/>
                <w:iCs/>
                <w:color w:val="000000" w:themeColor="text1"/>
                <w:sz w:val="24"/>
              </w:rPr>
              <w:t>建信养老</w:t>
            </w:r>
            <w:r>
              <w:rPr>
                <w:rStyle w:val="7"/>
                <w:rFonts w:hint="eastAsia" w:ascii="宋体" w:hAnsi="宋体"/>
                <w:bCs/>
                <w:iCs/>
                <w:color w:val="000000" w:themeColor="text1"/>
                <w:sz w:val="24"/>
              </w:rPr>
              <w:t xml:space="preserve">   润邦投资    华泰资管   华创证券</w:t>
            </w:r>
          </w:p>
          <w:p>
            <w:pPr>
              <w:spacing w:line="360" w:lineRule="auto"/>
              <w:rPr>
                <w:rStyle w:val="7"/>
                <w:rFonts w:ascii="宋体" w:hAnsi="宋体"/>
                <w:bCs/>
                <w:iCs/>
                <w:color w:val="000000" w:themeColor="text1"/>
                <w:sz w:val="24"/>
              </w:rPr>
            </w:pPr>
            <w:r>
              <w:rPr>
                <w:rStyle w:val="7"/>
                <w:rFonts w:ascii="宋体" w:hAnsi="宋体"/>
                <w:bCs/>
                <w:iCs/>
                <w:color w:val="000000" w:themeColor="text1"/>
                <w:sz w:val="24"/>
              </w:rPr>
              <w:t>红筹投资</w:t>
            </w:r>
            <w:r>
              <w:rPr>
                <w:rStyle w:val="7"/>
                <w:rFonts w:hint="eastAsia" w:ascii="宋体" w:hAnsi="宋体"/>
                <w:bCs/>
                <w:iCs/>
                <w:color w:val="000000" w:themeColor="text1"/>
                <w:sz w:val="24"/>
              </w:rPr>
              <w:t xml:space="preserve">   弘毅远方    合众资产   国投瑞银</w:t>
            </w:r>
          </w:p>
          <w:p>
            <w:pPr>
              <w:spacing w:line="360" w:lineRule="auto"/>
              <w:rPr>
                <w:rStyle w:val="7"/>
                <w:rFonts w:ascii="宋体" w:hAnsi="宋体"/>
                <w:bCs/>
                <w:iCs/>
                <w:color w:val="000000" w:themeColor="text1"/>
                <w:sz w:val="24"/>
              </w:rPr>
            </w:pPr>
            <w:r>
              <w:rPr>
                <w:rStyle w:val="7"/>
                <w:rFonts w:hint="eastAsia" w:ascii="宋体" w:hAnsi="宋体"/>
                <w:bCs/>
                <w:iCs/>
                <w:color w:val="000000" w:themeColor="text1"/>
                <w:sz w:val="24"/>
              </w:rPr>
              <w:t>广发基金   光大资管    方正自营   前开</w:t>
            </w:r>
            <w:r>
              <w:rPr>
                <w:rStyle w:val="7"/>
                <w:rFonts w:ascii="宋体" w:hAnsi="宋体"/>
                <w:bCs/>
                <w:iCs/>
                <w:color w:val="000000" w:themeColor="text1"/>
                <w:sz w:val="24"/>
              </w:rPr>
              <w:t>投资</w:t>
            </w:r>
          </w:p>
          <w:p>
            <w:pPr>
              <w:spacing w:line="360" w:lineRule="auto"/>
              <w:rPr>
                <w:rStyle w:val="7"/>
                <w:rFonts w:ascii="宋体" w:hAnsi="宋体"/>
                <w:bCs/>
                <w:iCs/>
                <w:color w:val="000000" w:themeColor="text1"/>
                <w:sz w:val="24"/>
              </w:rPr>
            </w:pPr>
            <w:r>
              <w:rPr>
                <w:rStyle w:val="7"/>
                <w:rFonts w:ascii="宋体" w:hAnsi="宋体"/>
                <w:bCs/>
                <w:iCs/>
                <w:color w:val="000000" w:themeColor="text1"/>
                <w:sz w:val="24"/>
              </w:rPr>
              <w:t>东兴证券</w:t>
            </w:r>
            <w:r>
              <w:rPr>
                <w:rStyle w:val="7"/>
                <w:rFonts w:hint="eastAsia" w:ascii="宋体" w:hAnsi="宋体"/>
                <w:bCs/>
                <w:iCs/>
                <w:color w:val="000000" w:themeColor="text1"/>
                <w:sz w:val="24"/>
              </w:rPr>
              <w:t xml:space="preserve">   东海基金    东北证券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766" w:type="dxa"/>
            <w:tcBorders>
              <w:top w:val="single" w:color="000000" w:sz="4" w:space="0"/>
              <w:left w:val="single" w:color="000000" w:sz="4" w:space="0"/>
              <w:bottom w:val="single" w:color="000000" w:sz="4" w:space="0"/>
              <w:right w:val="single" w:color="000000" w:sz="4" w:space="0"/>
            </w:tcBorders>
          </w:tcPr>
          <w:p>
            <w:pPr>
              <w:spacing w:line="480" w:lineRule="atLeast"/>
              <w:rPr>
                <w:rStyle w:val="7"/>
                <w:rFonts w:ascii="宋体" w:hAnsi="宋体"/>
                <w:b/>
                <w:bCs/>
                <w:iCs/>
                <w:sz w:val="24"/>
              </w:rPr>
            </w:pPr>
            <w:r>
              <w:rPr>
                <w:rStyle w:val="7"/>
                <w:rFonts w:ascii="宋体" w:hAnsi="宋体"/>
                <w:b/>
                <w:bCs/>
                <w:iCs/>
                <w:sz w:val="24"/>
              </w:rPr>
              <w:t>时间</w:t>
            </w:r>
          </w:p>
        </w:tc>
        <w:tc>
          <w:tcPr>
            <w:tcW w:w="6261" w:type="dxa"/>
            <w:tcBorders>
              <w:top w:val="single" w:color="000000" w:sz="4" w:space="0"/>
              <w:left w:val="single" w:color="000000" w:sz="4" w:space="0"/>
              <w:bottom w:val="single" w:color="000000" w:sz="4" w:space="0"/>
              <w:right w:val="single" w:color="000000" w:sz="4" w:space="0"/>
            </w:tcBorders>
          </w:tcPr>
          <w:p>
            <w:pPr>
              <w:spacing w:line="480" w:lineRule="atLeast"/>
              <w:rPr>
                <w:rStyle w:val="7"/>
                <w:rFonts w:ascii="宋体" w:hAnsi="宋体"/>
                <w:bCs/>
                <w:iCs/>
                <w:sz w:val="24"/>
              </w:rPr>
            </w:pPr>
            <w:r>
              <w:rPr>
                <w:rStyle w:val="7"/>
                <w:rFonts w:ascii="宋体" w:hAnsi="宋体"/>
                <w:bCs/>
                <w:iCs/>
                <w:sz w:val="24"/>
              </w:rPr>
              <w:t>20</w:t>
            </w:r>
            <w:r>
              <w:rPr>
                <w:rStyle w:val="7"/>
                <w:rFonts w:hint="eastAsia" w:ascii="宋体" w:hAnsi="宋体"/>
                <w:bCs/>
                <w:iCs/>
                <w:sz w:val="24"/>
              </w:rPr>
              <w:t>21</w:t>
            </w:r>
            <w:r>
              <w:rPr>
                <w:rStyle w:val="7"/>
                <w:rFonts w:ascii="宋体" w:hAnsi="宋体"/>
                <w:bCs/>
                <w:iCs/>
                <w:sz w:val="24"/>
              </w:rPr>
              <w:t>年</w:t>
            </w:r>
            <w:r>
              <w:rPr>
                <w:rStyle w:val="7"/>
                <w:rFonts w:hint="eastAsia" w:ascii="宋体" w:hAnsi="宋体"/>
                <w:bCs/>
                <w:iCs/>
                <w:sz w:val="24"/>
              </w:rPr>
              <w:t>10</w:t>
            </w:r>
            <w:r>
              <w:rPr>
                <w:rStyle w:val="7"/>
                <w:rFonts w:ascii="宋体" w:hAnsi="宋体"/>
                <w:bCs/>
                <w:iCs/>
                <w:sz w:val="24"/>
              </w:rPr>
              <w:t>月</w:t>
            </w:r>
            <w:r>
              <w:rPr>
                <w:rStyle w:val="7"/>
                <w:rFonts w:hint="eastAsia" w:ascii="宋体" w:hAnsi="宋体"/>
                <w:bCs/>
                <w:iCs/>
                <w:sz w:val="24"/>
              </w:rPr>
              <w:t>28</w:t>
            </w:r>
            <w:r>
              <w:rPr>
                <w:rStyle w:val="7"/>
                <w:rFonts w:ascii="宋体" w:hAnsi="宋体"/>
                <w:bCs/>
                <w:iCs/>
                <w:sz w:val="24"/>
              </w:rPr>
              <w:t>日</w:t>
            </w:r>
            <w:r>
              <w:rPr>
                <w:rStyle w:val="7"/>
                <w:rFonts w:hint="eastAsia" w:ascii="宋体" w:hAnsi="宋体"/>
                <w:bCs/>
                <w:iCs/>
                <w:sz w:val="24"/>
              </w:rPr>
              <w:t>下午15:00-16:00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766" w:type="dxa"/>
            <w:tcBorders>
              <w:top w:val="single" w:color="000000" w:sz="4" w:space="0"/>
              <w:left w:val="single" w:color="000000" w:sz="4" w:space="0"/>
              <w:bottom w:val="single" w:color="000000" w:sz="4" w:space="0"/>
              <w:right w:val="single" w:color="000000" w:sz="4" w:space="0"/>
            </w:tcBorders>
          </w:tcPr>
          <w:p>
            <w:pPr>
              <w:spacing w:line="480" w:lineRule="atLeast"/>
              <w:rPr>
                <w:rStyle w:val="7"/>
                <w:rFonts w:ascii="宋体" w:hAnsi="宋体"/>
                <w:b/>
                <w:bCs/>
                <w:iCs/>
                <w:sz w:val="24"/>
              </w:rPr>
            </w:pPr>
            <w:r>
              <w:rPr>
                <w:rStyle w:val="7"/>
                <w:rFonts w:ascii="宋体" w:hAnsi="宋体"/>
                <w:b/>
                <w:bCs/>
                <w:iCs/>
                <w:sz w:val="24"/>
              </w:rPr>
              <w:t>地点</w:t>
            </w:r>
          </w:p>
        </w:tc>
        <w:tc>
          <w:tcPr>
            <w:tcW w:w="6261" w:type="dxa"/>
            <w:tcBorders>
              <w:top w:val="single" w:color="000000" w:sz="4" w:space="0"/>
              <w:left w:val="single" w:color="000000" w:sz="4" w:space="0"/>
              <w:bottom w:val="single" w:color="000000" w:sz="4" w:space="0"/>
              <w:right w:val="single" w:color="000000" w:sz="4" w:space="0"/>
            </w:tcBorders>
          </w:tcPr>
          <w:p>
            <w:pPr>
              <w:spacing w:line="480" w:lineRule="atLeast"/>
              <w:rPr>
                <w:rStyle w:val="7"/>
                <w:rFonts w:ascii="宋体" w:hAnsi="宋体"/>
                <w:bCs/>
                <w:iCs/>
                <w:sz w:val="24"/>
              </w:rPr>
            </w:pPr>
            <w:r>
              <w:rPr>
                <w:rStyle w:val="7"/>
                <w:rFonts w:ascii="宋体" w:hAnsi="宋体"/>
                <w:bCs/>
                <w:iCs/>
                <w:sz w:val="24"/>
              </w:rPr>
              <w:t>浙江仙琚制药股份有限公司会议室</w:t>
            </w:r>
            <w:r>
              <w:rPr>
                <w:rStyle w:val="7"/>
                <w:rFonts w:hint="eastAsia" w:ascii="宋体" w:hAnsi="宋体"/>
                <w:bCs/>
                <w:iCs/>
                <w:sz w:val="24"/>
              </w:rPr>
              <w:t>（电话会）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766" w:type="dxa"/>
            <w:tcBorders>
              <w:top w:val="single" w:color="000000" w:sz="4" w:space="0"/>
              <w:left w:val="single" w:color="000000" w:sz="4" w:space="0"/>
              <w:bottom w:val="single" w:color="000000" w:sz="4" w:space="0"/>
              <w:right w:val="single" w:color="000000" w:sz="4" w:space="0"/>
            </w:tcBorders>
          </w:tcPr>
          <w:p>
            <w:pPr>
              <w:spacing w:line="480" w:lineRule="atLeast"/>
              <w:rPr>
                <w:rStyle w:val="7"/>
                <w:rFonts w:ascii="宋体" w:hAnsi="宋体"/>
                <w:b/>
                <w:bCs/>
                <w:iCs/>
                <w:sz w:val="24"/>
              </w:rPr>
            </w:pPr>
            <w:r>
              <w:rPr>
                <w:rStyle w:val="7"/>
                <w:rFonts w:ascii="宋体" w:hAnsi="宋体"/>
                <w:b/>
                <w:bCs/>
                <w:iCs/>
                <w:sz w:val="24"/>
              </w:rPr>
              <w:t>上市公司接待人员姓名</w:t>
            </w:r>
          </w:p>
        </w:tc>
        <w:tc>
          <w:tcPr>
            <w:tcW w:w="6261" w:type="dxa"/>
            <w:tcBorders>
              <w:top w:val="single" w:color="000000" w:sz="4" w:space="0"/>
              <w:left w:val="single" w:color="000000" w:sz="4" w:space="0"/>
              <w:bottom w:val="single" w:color="000000" w:sz="4" w:space="0"/>
              <w:right w:val="single" w:color="000000" w:sz="4" w:space="0"/>
            </w:tcBorders>
          </w:tcPr>
          <w:p>
            <w:pPr>
              <w:spacing w:line="480" w:lineRule="atLeast"/>
              <w:rPr>
                <w:rStyle w:val="7"/>
                <w:rFonts w:ascii="宋体" w:hAnsi="宋体"/>
                <w:bCs/>
                <w:iCs/>
                <w:sz w:val="24"/>
              </w:rPr>
            </w:pPr>
            <w:r>
              <w:rPr>
                <w:rStyle w:val="7"/>
                <w:rFonts w:ascii="宋体" w:hAnsi="宋体"/>
                <w:bCs/>
                <w:iCs/>
                <w:sz w:val="24"/>
              </w:rPr>
              <w:t>董事会秘书    张王伟</w:t>
            </w:r>
          </w:p>
          <w:p>
            <w:pPr>
              <w:spacing w:line="480" w:lineRule="atLeast"/>
              <w:rPr>
                <w:rStyle w:val="7"/>
                <w:rFonts w:ascii="宋体" w:hAnsi="宋体"/>
                <w:bCs/>
                <w:iCs/>
                <w:sz w:val="24"/>
              </w:rPr>
            </w:pPr>
            <w:r>
              <w:rPr>
                <w:rStyle w:val="7"/>
                <w:rFonts w:ascii="宋体" w:hAnsi="宋体"/>
                <w:bCs/>
                <w:iCs/>
                <w:sz w:val="24"/>
              </w:rPr>
              <w:t xml:space="preserve">证券事务代表  </w:t>
            </w:r>
            <w:r>
              <w:rPr>
                <w:rStyle w:val="7"/>
                <w:rFonts w:hint="eastAsia" w:ascii="宋体" w:hAnsi="宋体"/>
                <w:bCs/>
                <w:iCs/>
                <w:sz w:val="24"/>
              </w:rPr>
              <w:t>沈旭红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7" w:hRule="atLeast"/>
        </w:trPr>
        <w:tc>
          <w:tcPr>
            <w:tcW w:w="1766" w:type="dxa"/>
            <w:tcBorders>
              <w:top w:val="single" w:color="000000" w:sz="4" w:space="0"/>
              <w:left w:val="single" w:color="000000" w:sz="4" w:space="0"/>
              <w:bottom w:val="single" w:color="000000" w:sz="4" w:space="0"/>
              <w:right w:val="single" w:color="000000" w:sz="4" w:space="0"/>
            </w:tcBorders>
            <w:vAlign w:val="center"/>
          </w:tcPr>
          <w:p>
            <w:pPr>
              <w:spacing w:line="480" w:lineRule="atLeast"/>
              <w:rPr>
                <w:rStyle w:val="7"/>
                <w:rFonts w:ascii="宋体" w:hAnsi="宋体"/>
                <w:b/>
                <w:bCs/>
                <w:iCs/>
                <w:sz w:val="24"/>
              </w:rPr>
            </w:pPr>
            <w:r>
              <w:rPr>
                <w:rStyle w:val="7"/>
                <w:rFonts w:ascii="宋体" w:hAnsi="宋体"/>
                <w:b/>
                <w:bCs/>
                <w:iCs/>
                <w:sz w:val="24"/>
              </w:rPr>
              <w:t>投资者关系活动主要内容介绍</w:t>
            </w:r>
          </w:p>
          <w:p>
            <w:pPr>
              <w:spacing w:line="480" w:lineRule="atLeast"/>
              <w:rPr>
                <w:rStyle w:val="7"/>
                <w:rFonts w:ascii="宋体" w:hAnsi="宋体"/>
                <w:b/>
                <w:bCs/>
                <w:iCs/>
                <w:sz w:val="24"/>
              </w:rPr>
            </w:pPr>
          </w:p>
        </w:tc>
        <w:tc>
          <w:tcPr>
            <w:tcW w:w="6261" w:type="dxa"/>
            <w:tcBorders>
              <w:top w:val="single" w:color="000000" w:sz="4" w:space="0"/>
              <w:left w:val="single" w:color="000000" w:sz="4" w:space="0"/>
              <w:bottom w:val="single" w:color="000000" w:sz="4" w:space="0"/>
              <w:right w:val="single" w:color="000000" w:sz="4" w:space="0"/>
            </w:tcBorders>
          </w:tcPr>
          <w:p>
            <w:pPr>
              <w:spacing w:line="360" w:lineRule="auto"/>
              <w:ind w:firstLine="482" w:firstLineChars="200"/>
              <w:jc w:val="left"/>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 xml:space="preserve">1、公司三季报经营情况介绍 </w:t>
            </w:r>
          </w:p>
          <w:p>
            <w:pPr>
              <w:spacing w:line="360" w:lineRule="auto"/>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2021年前三季度，公司实现营业收入33.17亿元，同比增长13.07%；实现归属于上市公司股东的净利润4.59亿元，同比增长28%，扣非净利润同比增长30%。</w:t>
            </w:r>
          </w:p>
          <w:p>
            <w:pPr>
              <w:spacing w:line="360" w:lineRule="auto"/>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单三季度，公司归母净利润同比增长21%，扣非净利润同比增长21%，毛利率61%，同比增长了1个百分点。</w:t>
            </w:r>
          </w:p>
          <w:p>
            <w:pPr>
              <w:spacing w:line="360" w:lineRule="auto"/>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单季度在上年同期高基数的基础上继续保持了20%以上的增长。</w:t>
            </w:r>
          </w:p>
          <w:p>
            <w:pPr>
              <w:spacing w:line="360" w:lineRule="auto"/>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公司连续27个季度的持续快速增长，稳健业绩背后的底层逻辑是公司数十年时间积累的产业链优势，公司产品结构优、韧性强。</w:t>
            </w:r>
          </w:p>
          <w:p>
            <w:pPr>
              <w:spacing w:line="360" w:lineRule="auto"/>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公司未来将扎扎实实的聚焦甾体激素赛道，把未来几年的目标，长期的目标定好，扎扎实实的在这条甾体激素长坡厚雪的赛道上深耕，不断地向前迈进。</w:t>
            </w:r>
          </w:p>
          <w:p>
            <w:pPr>
              <w:autoSpaceDE w:val="0"/>
              <w:autoSpaceDN w:val="0"/>
              <w:adjustRightInd w:val="0"/>
              <w:spacing w:line="360" w:lineRule="auto"/>
              <w:ind w:firstLine="482" w:firstLineChars="200"/>
              <w:jc w:val="left"/>
              <w:rPr>
                <w:rFonts w:ascii="宋体" w:hAnsi="宋体" w:cs="宋体"/>
                <w:b/>
                <w:bCs/>
                <w:sz w:val="24"/>
                <w:lang w:val="zh-CN"/>
              </w:rPr>
            </w:pPr>
            <w:r>
              <w:rPr>
                <w:rFonts w:hint="eastAsia" w:ascii="宋体" w:hAnsi="宋体" w:cs="宋体"/>
                <w:b/>
                <w:bCs/>
                <w:sz w:val="24"/>
              </w:rPr>
              <w:t>2、</w:t>
            </w:r>
            <w:r>
              <w:rPr>
                <w:rFonts w:hint="eastAsia" w:ascii="宋体" w:hAnsi="宋体" w:cs="宋体"/>
                <w:b/>
                <w:bCs/>
                <w:sz w:val="24"/>
                <w:lang w:val="zh-CN"/>
              </w:rPr>
              <w:t>公司制剂业务的情况</w:t>
            </w:r>
          </w:p>
          <w:p>
            <w:pPr>
              <w:autoSpaceDE w:val="0"/>
              <w:autoSpaceDN w:val="0"/>
              <w:adjustRightInd w:val="0"/>
              <w:spacing w:line="360" w:lineRule="auto"/>
              <w:ind w:firstLine="480" w:firstLineChars="200"/>
              <w:jc w:val="left"/>
              <w:rPr>
                <w:rFonts w:ascii="宋体" w:hAnsi="宋体" w:cs="宋体"/>
                <w:sz w:val="24"/>
                <w:lang w:val="zh-CN"/>
              </w:rPr>
            </w:pPr>
            <w:r>
              <w:rPr>
                <w:rFonts w:hint="eastAsia" w:ascii="宋体" w:hAnsi="宋体" w:cs="宋体"/>
                <w:sz w:val="24"/>
                <w:lang w:val="zh-CN"/>
              </w:rPr>
              <w:t>呼吸科产品：今年依然保持了高速的增长。主要来自于糠酸莫米松鼻喷剂和噻托溴铵粉雾剂两个品种的增长。其中，噻托溴铵粉雾剂目前市占率较低，但增长率高，未来这个品种如果进入集采，市占率有望进一步提升。糠酸莫米松鼻喷剂目前市占率40%左右，且呈现快速增长趋势。呼吸科有望保持较好的增速。</w:t>
            </w:r>
          </w:p>
          <w:p>
            <w:pPr>
              <w:autoSpaceDE w:val="0"/>
              <w:autoSpaceDN w:val="0"/>
              <w:adjustRightInd w:val="0"/>
              <w:spacing w:line="360" w:lineRule="auto"/>
              <w:ind w:firstLine="480" w:firstLineChars="200"/>
              <w:jc w:val="left"/>
              <w:rPr>
                <w:rFonts w:hint="eastAsia" w:ascii="宋体" w:hAnsi="宋体" w:cs="宋体"/>
                <w:sz w:val="24"/>
                <w:lang w:val="zh-CN"/>
              </w:rPr>
            </w:pPr>
            <w:r>
              <w:rPr>
                <w:rFonts w:hint="eastAsia" w:ascii="宋体" w:hAnsi="宋体" w:cs="宋体"/>
                <w:sz w:val="24"/>
                <w:lang w:val="zh-CN"/>
              </w:rPr>
              <w:t>麻醉肌松产品：罗库溴铵注射液如果在下一轮参与集采，按照执行周期，目前仍有时间窗口做市场的覆盖和布局。麻醉类的盐酸罗哌卡因注射液，入围第</w:t>
            </w:r>
            <w:r>
              <w:rPr>
                <w:rFonts w:hint="eastAsia" w:ascii="宋体" w:hAnsi="宋体" w:cs="宋体"/>
                <w:sz w:val="24"/>
              </w:rPr>
              <w:t>5批国家集采</w:t>
            </w:r>
            <w:r>
              <w:rPr>
                <w:rFonts w:hint="eastAsia" w:ascii="宋体" w:hAnsi="宋体" w:cs="宋体"/>
                <w:sz w:val="24"/>
                <w:lang w:val="zh-CN"/>
              </w:rPr>
              <w:t>，从销售端的反馈来看，销量有质的提升。公司麻醉肌松类原料药集采之前以自用为主，对公司未来而言，集采后的此类原料药销售有足够的增长潜力。公司在麻醉类也有新制剂品种在陆续的研发布局。</w:t>
            </w:r>
          </w:p>
          <w:p>
            <w:pPr>
              <w:autoSpaceDE w:val="0"/>
              <w:autoSpaceDN w:val="0"/>
              <w:adjustRightInd w:val="0"/>
              <w:spacing w:line="360" w:lineRule="auto"/>
              <w:ind w:firstLine="480" w:firstLineChars="200"/>
              <w:jc w:val="left"/>
              <w:rPr>
                <w:rFonts w:hint="eastAsia" w:ascii="宋体" w:hAnsi="宋体" w:cs="宋体"/>
                <w:sz w:val="24"/>
                <w:lang w:val="zh-CN"/>
              </w:rPr>
            </w:pPr>
          </w:p>
          <w:p>
            <w:pPr>
              <w:autoSpaceDE w:val="0"/>
              <w:autoSpaceDN w:val="0"/>
              <w:adjustRightInd w:val="0"/>
              <w:spacing w:line="360" w:lineRule="auto"/>
              <w:ind w:firstLine="480" w:firstLineChars="200"/>
              <w:jc w:val="left"/>
              <w:rPr>
                <w:rFonts w:ascii="宋体" w:hAnsi="宋体" w:cs="宋体"/>
                <w:sz w:val="24"/>
                <w:lang w:val="zh-CN"/>
              </w:rPr>
            </w:pPr>
            <w:r>
              <w:rPr>
                <w:rFonts w:hint="eastAsia" w:ascii="宋体" w:hAnsi="宋体" w:cs="宋体"/>
                <w:sz w:val="24"/>
                <w:lang w:val="zh-CN"/>
              </w:rPr>
              <w:t>妇科产品：黄体酮胶囊是公司目前妇科类主力产品，但公司也做了该产品集采后的接力产品储备。黄体酮软胶囊研发顺利推进，黄体酮凝胶准备正式B</w:t>
            </w:r>
            <w:r>
              <w:rPr>
                <w:rFonts w:ascii="宋体" w:hAnsi="宋体" w:cs="宋体"/>
                <w:sz w:val="24"/>
                <w:lang w:val="zh-CN"/>
              </w:rPr>
              <w:t>E</w:t>
            </w:r>
            <w:r>
              <w:rPr>
                <w:rFonts w:hint="eastAsia" w:ascii="宋体" w:hAnsi="宋体" w:cs="宋体"/>
                <w:sz w:val="24"/>
                <w:lang w:val="zh-CN"/>
              </w:rPr>
              <w:t>。另外公司开展很多妇科小而美的产品的开发，比如对标拜尔的屈螺酮炔䧳醇片、戊酸雌二醇片等。</w:t>
            </w:r>
          </w:p>
          <w:p>
            <w:pPr>
              <w:autoSpaceDE w:val="0"/>
              <w:autoSpaceDN w:val="0"/>
              <w:adjustRightInd w:val="0"/>
              <w:spacing w:line="360" w:lineRule="auto"/>
              <w:ind w:firstLine="480" w:firstLineChars="200"/>
              <w:jc w:val="left"/>
              <w:rPr>
                <w:rFonts w:ascii="宋体" w:hAnsi="宋体" w:cs="宋体"/>
                <w:sz w:val="24"/>
                <w:lang w:val="zh-CN"/>
              </w:rPr>
            </w:pPr>
            <w:r>
              <w:rPr>
                <w:rFonts w:hint="eastAsia" w:ascii="宋体" w:hAnsi="宋体" w:cs="宋体"/>
                <w:sz w:val="24"/>
                <w:lang w:val="zh-CN"/>
              </w:rPr>
              <w:t>皮肤科产品：主要通过OTC的渠道在做，主要产品糠酸莫米松乳膏、曲安奈德益康唑乳膏等，目前不受集采影响，近年一直保持一个较好的增长。</w:t>
            </w:r>
          </w:p>
          <w:p>
            <w:pPr>
              <w:autoSpaceDE w:val="0"/>
              <w:autoSpaceDN w:val="0"/>
              <w:adjustRightInd w:val="0"/>
              <w:spacing w:line="360" w:lineRule="auto"/>
              <w:ind w:firstLine="480" w:firstLineChars="200"/>
              <w:jc w:val="left"/>
              <w:rPr>
                <w:rFonts w:ascii="宋体" w:hAnsi="宋体" w:cs="宋体"/>
                <w:sz w:val="24"/>
                <w:lang w:val="zh-CN"/>
              </w:rPr>
            </w:pPr>
            <w:r>
              <w:rPr>
                <w:rFonts w:hint="eastAsia" w:ascii="宋体" w:hAnsi="宋体" w:cs="宋体"/>
                <w:sz w:val="24"/>
                <w:lang w:val="zh-CN"/>
              </w:rPr>
              <w:t>普药产品：普药是仙琚制药的利基和稳定器，总体保持</w:t>
            </w:r>
            <w:r>
              <w:rPr>
                <w:rFonts w:hint="eastAsia" w:ascii="宋体" w:hAnsi="宋体" w:cs="宋体"/>
                <w:sz w:val="24"/>
              </w:rPr>
              <w:t>10%左右的增速。</w:t>
            </w:r>
            <w:r>
              <w:rPr>
                <w:rFonts w:hint="eastAsia" w:ascii="宋体" w:hAnsi="宋体" w:cs="宋体"/>
                <w:sz w:val="24"/>
                <w:lang w:val="zh-CN"/>
              </w:rPr>
              <w:t>普药价格低、量大，消耗原料药也多，如果原料药跌价，利润将体现在普药制剂端；若原料药涨价，将体现在原料药端。</w:t>
            </w:r>
          </w:p>
          <w:p>
            <w:pPr>
              <w:autoSpaceDE w:val="0"/>
              <w:autoSpaceDN w:val="0"/>
              <w:adjustRightInd w:val="0"/>
              <w:spacing w:line="360" w:lineRule="auto"/>
              <w:ind w:firstLine="482" w:firstLineChars="200"/>
              <w:jc w:val="left"/>
              <w:rPr>
                <w:rFonts w:ascii="宋体" w:hAnsi="宋体" w:cs="宋体"/>
                <w:b/>
                <w:bCs/>
                <w:sz w:val="24"/>
                <w:lang w:val="zh-CN"/>
              </w:rPr>
            </w:pPr>
            <w:r>
              <w:rPr>
                <w:rFonts w:hint="eastAsia" w:ascii="宋体" w:hAnsi="宋体" w:cs="宋体"/>
                <w:b/>
                <w:bCs/>
                <w:sz w:val="24"/>
              </w:rPr>
              <w:t>3、</w:t>
            </w:r>
            <w:r>
              <w:rPr>
                <w:rFonts w:hint="eastAsia" w:ascii="宋体" w:hAnsi="宋体" w:cs="宋体"/>
                <w:b/>
                <w:bCs/>
                <w:sz w:val="24"/>
                <w:lang w:val="zh-CN"/>
              </w:rPr>
              <w:t>公司原料药业务的情况</w:t>
            </w:r>
          </w:p>
          <w:p>
            <w:pPr>
              <w:autoSpaceDE w:val="0"/>
              <w:autoSpaceDN w:val="0"/>
              <w:adjustRightInd w:val="0"/>
              <w:spacing w:line="360" w:lineRule="auto"/>
              <w:ind w:firstLine="480" w:firstLineChars="200"/>
              <w:jc w:val="left"/>
              <w:rPr>
                <w:rFonts w:ascii="宋体" w:hAnsi="宋体" w:cs="宋体"/>
                <w:sz w:val="24"/>
                <w:lang w:val="zh-CN"/>
              </w:rPr>
            </w:pPr>
            <w:r>
              <w:rPr>
                <w:rFonts w:hint="eastAsia" w:ascii="宋体" w:hAnsi="宋体" w:cs="宋体"/>
                <w:sz w:val="24"/>
                <w:lang w:val="zh-CN"/>
              </w:rPr>
              <w:t>原料药收入增速同比去年基本持平，单三季度原料药收入略有下滑。主要有以下几个原因：</w:t>
            </w:r>
          </w:p>
          <w:p>
            <w:pPr>
              <w:autoSpaceDE w:val="0"/>
              <w:autoSpaceDN w:val="0"/>
              <w:adjustRightInd w:val="0"/>
              <w:spacing w:line="360" w:lineRule="auto"/>
              <w:ind w:firstLine="480" w:firstLineChars="200"/>
              <w:jc w:val="left"/>
              <w:rPr>
                <w:rFonts w:ascii="宋体" w:hAnsi="宋体" w:cs="宋体"/>
                <w:sz w:val="24"/>
                <w:lang w:val="zh-CN"/>
              </w:rPr>
            </w:pPr>
            <w:r>
              <w:rPr>
                <w:rFonts w:hint="eastAsia" w:ascii="宋体" w:hAnsi="宋体" w:cs="宋体"/>
                <w:sz w:val="24"/>
                <w:lang w:val="zh-CN"/>
              </w:rPr>
              <w:t>1）订单周期的影响：去年三季度有一个原料产品的大订单去年是三季度执行的，今年可能会在四季度或者明年一季度执行。</w:t>
            </w:r>
          </w:p>
          <w:p>
            <w:pPr>
              <w:autoSpaceDE w:val="0"/>
              <w:autoSpaceDN w:val="0"/>
              <w:adjustRightInd w:val="0"/>
              <w:spacing w:line="360" w:lineRule="auto"/>
              <w:ind w:firstLine="480" w:firstLineChars="200"/>
              <w:jc w:val="left"/>
              <w:rPr>
                <w:rFonts w:ascii="宋体" w:hAnsi="宋体" w:cs="宋体"/>
                <w:sz w:val="24"/>
                <w:lang w:val="zh-CN"/>
              </w:rPr>
            </w:pPr>
            <w:r>
              <w:rPr>
                <w:rFonts w:hint="eastAsia" w:ascii="宋体" w:hAnsi="宋体" w:cs="宋体"/>
                <w:sz w:val="24"/>
                <w:lang w:val="zh-CN"/>
              </w:rPr>
              <w:t>2）皮质激素的部分高端原料药由于杨府原料药厂区国际注册认证的原因，订单预计延期到四季度或者明年一季度开始执行。</w:t>
            </w:r>
          </w:p>
          <w:p>
            <w:pPr>
              <w:autoSpaceDE w:val="0"/>
              <w:autoSpaceDN w:val="0"/>
              <w:adjustRightInd w:val="0"/>
              <w:spacing w:line="360" w:lineRule="auto"/>
              <w:ind w:firstLine="480" w:firstLineChars="200"/>
              <w:jc w:val="left"/>
              <w:rPr>
                <w:rFonts w:ascii="宋体" w:hAnsi="宋体" w:cs="宋体"/>
                <w:sz w:val="24"/>
                <w:lang w:val="zh-CN"/>
              </w:rPr>
            </w:pPr>
            <w:r>
              <w:rPr>
                <w:rFonts w:hint="eastAsia" w:ascii="宋体" w:hAnsi="宋体" w:cs="宋体"/>
                <w:sz w:val="24"/>
                <w:lang w:val="zh-CN"/>
              </w:rPr>
              <w:t>3）意大利Newchem去年三季度是个高基数，今年同比影响了约2000万人民币销售额，据了解市场份额稳定，主要是客户订单周期因素。</w:t>
            </w:r>
          </w:p>
          <w:p>
            <w:pPr>
              <w:pStyle w:val="16"/>
              <w:spacing w:line="360" w:lineRule="auto"/>
              <w:ind w:firstLine="482"/>
              <w:jc w:val="left"/>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4、研发工作情况</w:t>
            </w:r>
          </w:p>
          <w:p>
            <w:pPr>
              <w:autoSpaceDE w:val="0"/>
              <w:autoSpaceDN w:val="0"/>
              <w:adjustRightInd w:val="0"/>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公司</w:t>
            </w:r>
            <w:r>
              <w:rPr>
                <w:rFonts w:hint="eastAsia" w:asciiTheme="minorEastAsia" w:hAnsiTheme="minorEastAsia" w:eastAsiaTheme="minorEastAsia"/>
                <w:sz w:val="24"/>
              </w:rPr>
              <w:t>近年来</w:t>
            </w:r>
            <w:r>
              <w:rPr>
                <w:rFonts w:asciiTheme="minorEastAsia" w:hAnsiTheme="minorEastAsia" w:eastAsiaTheme="minorEastAsia"/>
                <w:sz w:val="24"/>
              </w:rPr>
              <w:t>对研发投入</w:t>
            </w:r>
            <w:r>
              <w:rPr>
                <w:rFonts w:hint="eastAsia" w:asciiTheme="minorEastAsia" w:hAnsiTheme="minorEastAsia" w:eastAsiaTheme="minorEastAsia"/>
                <w:sz w:val="24"/>
              </w:rPr>
              <w:t>保持高增长，前三季度对比同期研发投入增长18%。</w:t>
            </w:r>
          </w:p>
          <w:p>
            <w:pPr>
              <w:autoSpaceDE w:val="0"/>
              <w:autoSpaceDN w:val="0"/>
              <w:adjustRightInd w:val="0"/>
              <w:spacing w:line="360" w:lineRule="auto"/>
              <w:ind w:firstLine="480" w:firstLineChars="200"/>
              <w:jc w:val="left"/>
              <w:rPr>
                <w:rFonts w:ascii="宋体" w:hAnsi="宋体" w:cs="宋体"/>
                <w:sz w:val="24"/>
                <w:lang w:val="zh-CN"/>
              </w:rPr>
            </w:pPr>
            <w:r>
              <w:rPr>
                <w:rFonts w:hint="eastAsia" w:ascii="宋体" w:hAnsi="宋体" w:cs="宋体"/>
                <w:sz w:val="24"/>
                <w:lang w:val="zh-CN"/>
              </w:rPr>
              <w:t>公司一致性评价品种</w:t>
            </w:r>
            <w:r>
              <w:rPr>
                <w:rFonts w:ascii="宋体" w:hAnsi="宋体" w:cs="宋体"/>
                <w:sz w:val="24"/>
                <w:lang w:val="zh-CN"/>
              </w:rPr>
              <w:t>22</w:t>
            </w:r>
            <w:r>
              <w:rPr>
                <w:rFonts w:hint="eastAsia" w:ascii="宋体" w:hAnsi="宋体" w:cs="宋体"/>
                <w:sz w:val="24"/>
                <w:lang w:val="zh-CN"/>
              </w:rPr>
              <w:t>个，已申报</w:t>
            </w:r>
            <w:r>
              <w:rPr>
                <w:rFonts w:hint="eastAsia" w:ascii="宋体" w:hAnsi="宋体" w:cs="宋体"/>
                <w:sz w:val="24"/>
              </w:rPr>
              <w:t>9</w:t>
            </w:r>
            <w:r>
              <w:rPr>
                <w:rFonts w:hint="eastAsia" w:ascii="宋体" w:hAnsi="宋体" w:cs="宋体"/>
                <w:sz w:val="24"/>
                <w:lang w:val="zh-CN"/>
              </w:rPr>
              <w:t>个，过评</w:t>
            </w:r>
            <w:r>
              <w:rPr>
                <w:rFonts w:ascii="宋体" w:hAnsi="宋体" w:cs="宋体"/>
                <w:sz w:val="24"/>
                <w:lang w:val="zh-CN"/>
              </w:rPr>
              <w:t>4</w:t>
            </w:r>
            <w:r>
              <w:rPr>
                <w:rFonts w:hint="eastAsia" w:ascii="宋体" w:hAnsi="宋体" w:cs="宋体"/>
                <w:sz w:val="24"/>
                <w:lang w:val="zh-CN"/>
              </w:rPr>
              <w:t>个。过评产品具体为：罗库溴铵注射液、非那雄胺片、米索前列醇片、盐酸罗哌卡因注射液。泼尼松龙片、醋酸泼尼松片、氟马西尼注射液、地塞米松磷酸钠注射液、米非司酮片一致性评价申报资料获得受理，正在有序推进审批。</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lang w:val="zh-CN"/>
              </w:rPr>
              <w:t>新仿制品种</w:t>
            </w:r>
            <w:r>
              <w:rPr>
                <w:rFonts w:ascii="宋体" w:hAnsi="宋体" w:cs="宋体"/>
                <w:sz w:val="24"/>
                <w:lang w:val="zh-CN"/>
              </w:rPr>
              <w:t>18</w:t>
            </w:r>
            <w:r>
              <w:rPr>
                <w:rFonts w:hint="eastAsia" w:ascii="宋体" w:hAnsi="宋体" w:cs="宋体"/>
                <w:sz w:val="24"/>
                <w:lang w:val="zh-CN"/>
              </w:rPr>
              <w:t>个，已申报</w:t>
            </w:r>
            <w:r>
              <w:rPr>
                <w:rFonts w:hint="eastAsia" w:ascii="宋体" w:hAnsi="宋体" w:cs="宋体"/>
                <w:sz w:val="24"/>
              </w:rPr>
              <w:t>6</w:t>
            </w:r>
            <w:r>
              <w:rPr>
                <w:rFonts w:hint="eastAsia" w:ascii="宋体" w:hAnsi="宋体" w:cs="宋体"/>
                <w:sz w:val="24"/>
                <w:lang w:val="zh-CN"/>
              </w:rPr>
              <w:t>个。已申报产品具体为：甲泼尼龙片、舒更葡糖钠原料药及制剂、苯磺顺阿曲库铵注射液、戌酸雌二醇片、地塞米松磷酸钠注射液、屈螺酮炔雌醇片完成境内药品生产注册申报。</w:t>
            </w:r>
          </w:p>
          <w:p>
            <w:pPr>
              <w:autoSpaceDE w:val="0"/>
              <w:autoSpaceDN w:val="0"/>
              <w:adjustRightInd w:val="0"/>
              <w:spacing w:line="360" w:lineRule="auto"/>
              <w:ind w:firstLine="480" w:firstLineChars="200"/>
              <w:jc w:val="left"/>
              <w:rPr>
                <w:rFonts w:ascii="宋体" w:hAnsi="宋体" w:cs="宋体"/>
                <w:sz w:val="24"/>
                <w:lang w:val="zh-CN"/>
              </w:rPr>
            </w:pPr>
            <w:r>
              <w:rPr>
                <w:rFonts w:hint="eastAsia" w:ascii="宋体" w:hAnsi="宋体" w:cs="宋体"/>
                <w:sz w:val="24"/>
                <w:lang w:val="zh-CN"/>
              </w:rPr>
              <w:t>公司根据国家政策环境的新变化对现有开发产品进行梳理，积极推进研发聚焦工作，制剂产品研发围绕公司妇科及辅助生殖、麻醉及肌松、呼吸科等核心治疗领域构建产品群，服务群。公司将通过市场的调查和定位，在各个治疗领域里组建产品群，去寻找、获得所需要的潜力产品，为公司今后5-10年的持续稳健发展做好产品储备。</w:t>
            </w:r>
          </w:p>
          <w:p>
            <w:pPr>
              <w:spacing w:line="480" w:lineRule="atLeast"/>
              <w:ind w:firstLine="482" w:firstLineChars="200"/>
              <w:rPr>
                <w:rStyle w:val="7"/>
                <w:rFonts w:ascii="宋体" w:hAnsi="宋体"/>
                <w:b/>
                <w:bCs/>
                <w:sz w:val="24"/>
                <w:szCs w:val="22"/>
              </w:rPr>
            </w:pPr>
            <w:r>
              <w:rPr>
                <w:rStyle w:val="7"/>
                <w:rFonts w:hint="eastAsia" w:ascii="宋体" w:hAnsi="宋体"/>
                <w:b/>
                <w:bCs/>
                <w:sz w:val="24"/>
                <w:szCs w:val="22"/>
              </w:rPr>
              <w:t>5、集采对公司未来发展有多大的影响</w:t>
            </w:r>
          </w:p>
          <w:p>
            <w:pPr>
              <w:autoSpaceDE w:val="0"/>
              <w:autoSpaceDN w:val="0"/>
              <w:adjustRightInd w:val="0"/>
              <w:spacing w:line="360" w:lineRule="auto"/>
              <w:ind w:firstLine="480" w:firstLineChars="200"/>
              <w:jc w:val="left"/>
              <w:rPr>
                <w:rFonts w:ascii="宋体" w:hAnsi="宋体" w:cs="宋体"/>
                <w:sz w:val="24"/>
                <w:lang w:val="zh-CN"/>
              </w:rPr>
            </w:pPr>
            <w:r>
              <w:rPr>
                <w:rFonts w:hint="eastAsia" w:ascii="宋体" w:hAnsi="宋体" w:cs="宋体"/>
                <w:sz w:val="24"/>
                <w:lang w:val="zh-CN"/>
              </w:rPr>
              <w:t>公司的产品纳入集采，收入端可能会有影响，基于公司的产品具有多品类、小品种的竞争特点，而且有原料药与制剂一体化的优势，集采影响相对中性。公司将努力加快产品开发，丰富产品梯队，持续增强公司竞争力。</w:t>
            </w:r>
          </w:p>
          <w:p>
            <w:pPr>
              <w:spacing w:line="480" w:lineRule="atLeast"/>
              <w:ind w:firstLine="482" w:firstLineChars="200"/>
              <w:rPr>
                <w:rStyle w:val="7"/>
                <w:rFonts w:ascii="宋体" w:hAnsi="宋体"/>
                <w:b/>
                <w:bCs/>
                <w:sz w:val="24"/>
                <w:szCs w:val="22"/>
              </w:rPr>
            </w:pPr>
            <w:r>
              <w:rPr>
                <w:rStyle w:val="7"/>
                <w:rFonts w:hint="eastAsia" w:ascii="宋体" w:hAnsi="宋体"/>
                <w:b/>
                <w:bCs/>
                <w:sz w:val="24"/>
                <w:szCs w:val="22"/>
              </w:rPr>
              <w:t>6、三季度公司管理费用率同比和环比有所降低的原因</w:t>
            </w:r>
          </w:p>
          <w:p>
            <w:pPr>
              <w:autoSpaceDE w:val="0"/>
              <w:autoSpaceDN w:val="0"/>
              <w:adjustRightInd w:val="0"/>
              <w:spacing w:line="360" w:lineRule="auto"/>
              <w:ind w:firstLine="480" w:firstLineChars="200"/>
              <w:jc w:val="left"/>
              <w:rPr>
                <w:rStyle w:val="7"/>
                <w:rFonts w:ascii="宋体" w:hAnsi="宋体"/>
                <w:bCs/>
                <w:sz w:val="24"/>
                <w:szCs w:val="22"/>
              </w:rPr>
            </w:pPr>
            <w:r>
              <w:rPr>
                <w:rStyle w:val="7"/>
                <w:rFonts w:hint="eastAsia" w:ascii="宋体" w:hAnsi="宋体"/>
                <w:bCs/>
                <w:sz w:val="24"/>
                <w:szCs w:val="22"/>
              </w:rPr>
              <w:t>从行业的角度来说，未来的竞争在于持续创新和综合成本优化，技术迭代和综合效率是竞争力体现；公司会大力加大研发技术投入，同时做管理效率优化。公司在管理岗位设置上精兵简政，架构优化，提升管理效率。</w:t>
            </w:r>
          </w:p>
          <w:p>
            <w:pPr>
              <w:spacing w:line="480" w:lineRule="atLeast"/>
              <w:ind w:firstLine="482" w:firstLineChars="200"/>
              <w:rPr>
                <w:rStyle w:val="7"/>
                <w:rFonts w:ascii="宋体" w:hAnsi="宋体"/>
                <w:b/>
                <w:bCs/>
                <w:sz w:val="24"/>
                <w:szCs w:val="22"/>
              </w:rPr>
            </w:pPr>
            <w:r>
              <w:rPr>
                <w:rStyle w:val="7"/>
                <w:rFonts w:hint="eastAsia" w:ascii="宋体" w:hAnsi="宋体"/>
                <w:b/>
                <w:bCs/>
                <w:sz w:val="24"/>
                <w:szCs w:val="22"/>
              </w:rPr>
              <w:t>7、公司第三季度销售费用增加的原因？</w:t>
            </w:r>
          </w:p>
          <w:p>
            <w:pPr>
              <w:autoSpaceDE w:val="0"/>
              <w:autoSpaceDN w:val="0"/>
              <w:adjustRightInd w:val="0"/>
              <w:spacing w:line="360" w:lineRule="auto"/>
              <w:ind w:firstLine="480" w:firstLineChars="200"/>
              <w:jc w:val="left"/>
              <w:rPr>
                <w:rFonts w:asciiTheme="majorEastAsia" w:hAnsiTheme="majorEastAsia" w:eastAsiaTheme="majorEastAsia" w:cstheme="majorEastAsia"/>
                <w:sz w:val="24"/>
              </w:rPr>
            </w:pPr>
            <w:r>
              <w:rPr>
                <w:rStyle w:val="7"/>
                <w:rFonts w:hint="eastAsia" w:ascii="宋体" w:hAnsi="宋体"/>
                <w:bCs/>
                <w:sz w:val="24"/>
                <w:szCs w:val="22"/>
              </w:rPr>
              <w:t>销售费用率的增加主要与公司制剂业务的增长有关。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766" w:type="dxa"/>
            <w:tcBorders>
              <w:top w:val="single" w:color="000000" w:sz="4" w:space="0"/>
              <w:left w:val="single" w:color="000000" w:sz="4" w:space="0"/>
              <w:bottom w:val="single" w:color="000000" w:sz="4" w:space="0"/>
              <w:right w:val="single" w:color="000000" w:sz="4" w:space="0"/>
            </w:tcBorders>
            <w:vAlign w:val="center"/>
          </w:tcPr>
          <w:p>
            <w:pPr>
              <w:spacing w:line="480" w:lineRule="atLeast"/>
              <w:rPr>
                <w:rStyle w:val="7"/>
                <w:rFonts w:ascii="宋体" w:hAnsi="宋体"/>
                <w:b/>
                <w:bCs/>
                <w:iCs/>
                <w:sz w:val="24"/>
              </w:rPr>
            </w:pPr>
            <w:r>
              <w:rPr>
                <w:rStyle w:val="7"/>
                <w:rFonts w:ascii="宋体" w:hAnsi="宋体"/>
                <w:b/>
                <w:bCs/>
                <w:iCs/>
                <w:sz w:val="24"/>
              </w:rPr>
              <w:t>附件清单（如有）</w:t>
            </w:r>
          </w:p>
        </w:tc>
        <w:tc>
          <w:tcPr>
            <w:tcW w:w="6261" w:type="dxa"/>
            <w:tcBorders>
              <w:top w:val="single" w:color="000000" w:sz="4" w:space="0"/>
              <w:left w:val="single" w:color="000000" w:sz="4" w:space="0"/>
              <w:bottom w:val="single" w:color="000000" w:sz="4" w:space="0"/>
              <w:right w:val="single" w:color="000000" w:sz="4" w:space="0"/>
            </w:tcBorders>
          </w:tcPr>
          <w:p>
            <w:pPr>
              <w:spacing w:line="480" w:lineRule="atLeast"/>
              <w:rPr>
                <w:rStyle w:val="7"/>
                <w:rFonts w:ascii="宋体" w:hAnsi="宋体"/>
                <w:bCs/>
                <w:iCs/>
                <w:sz w:val="24"/>
              </w:rPr>
            </w:pPr>
            <w:r>
              <w:rPr>
                <w:rStyle w:val="7"/>
                <w:rFonts w:ascii="宋体" w:hAnsi="宋体"/>
                <w:bCs/>
                <w:iCs/>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766" w:type="dxa"/>
            <w:tcBorders>
              <w:top w:val="single" w:color="000000" w:sz="4" w:space="0"/>
              <w:left w:val="single" w:color="000000" w:sz="4" w:space="0"/>
              <w:bottom w:val="single" w:color="000000" w:sz="4" w:space="0"/>
              <w:right w:val="single" w:color="000000" w:sz="4" w:space="0"/>
            </w:tcBorders>
            <w:vAlign w:val="center"/>
          </w:tcPr>
          <w:p>
            <w:pPr>
              <w:spacing w:line="480" w:lineRule="atLeast"/>
              <w:rPr>
                <w:rStyle w:val="7"/>
                <w:rFonts w:ascii="宋体" w:hAnsi="宋体"/>
                <w:b/>
                <w:bCs/>
                <w:iCs/>
                <w:sz w:val="24"/>
              </w:rPr>
            </w:pPr>
            <w:r>
              <w:rPr>
                <w:rStyle w:val="7"/>
                <w:rFonts w:ascii="宋体" w:hAnsi="宋体"/>
                <w:b/>
                <w:bCs/>
                <w:iCs/>
                <w:sz w:val="24"/>
              </w:rPr>
              <w:t>日期</w:t>
            </w:r>
          </w:p>
        </w:tc>
        <w:tc>
          <w:tcPr>
            <w:tcW w:w="6261" w:type="dxa"/>
            <w:tcBorders>
              <w:top w:val="single" w:color="000000" w:sz="4" w:space="0"/>
              <w:left w:val="single" w:color="000000" w:sz="4" w:space="0"/>
              <w:bottom w:val="single" w:color="000000" w:sz="4" w:space="0"/>
              <w:right w:val="single" w:color="000000" w:sz="4" w:space="0"/>
            </w:tcBorders>
          </w:tcPr>
          <w:p>
            <w:pPr>
              <w:spacing w:line="480" w:lineRule="atLeast"/>
              <w:rPr>
                <w:rStyle w:val="7"/>
                <w:rFonts w:ascii="宋体" w:hAnsi="宋体"/>
                <w:bCs/>
                <w:iCs/>
                <w:sz w:val="24"/>
              </w:rPr>
            </w:pPr>
            <w:r>
              <w:rPr>
                <w:rStyle w:val="7"/>
                <w:rFonts w:ascii="宋体" w:hAnsi="宋体"/>
                <w:bCs/>
                <w:iCs/>
                <w:sz w:val="24"/>
              </w:rPr>
              <w:t>20</w:t>
            </w:r>
            <w:r>
              <w:rPr>
                <w:rStyle w:val="7"/>
                <w:rFonts w:hint="eastAsia" w:ascii="宋体" w:hAnsi="宋体"/>
                <w:bCs/>
                <w:iCs/>
                <w:sz w:val="24"/>
              </w:rPr>
              <w:t>21</w:t>
            </w:r>
            <w:r>
              <w:rPr>
                <w:rStyle w:val="7"/>
                <w:rFonts w:ascii="宋体" w:hAnsi="宋体"/>
                <w:bCs/>
                <w:iCs/>
                <w:sz w:val="24"/>
              </w:rPr>
              <w:t>年</w:t>
            </w:r>
            <w:r>
              <w:rPr>
                <w:rStyle w:val="7"/>
                <w:rFonts w:hint="eastAsia" w:ascii="宋体" w:hAnsi="宋体"/>
                <w:bCs/>
                <w:iCs/>
                <w:sz w:val="24"/>
              </w:rPr>
              <w:t>10</w:t>
            </w:r>
            <w:r>
              <w:rPr>
                <w:rStyle w:val="7"/>
                <w:rFonts w:ascii="宋体" w:hAnsi="宋体"/>
                <w:bCs/>
                <w:iCs/>
                <w:sz w:val="24"/>
              </w:rPr>
              <w:t>月2</w:t>
            </w:r>
            <w:r>
              <w:rPr>
                <w:rStyle w:val="7"/>
                <w:rFonts w:hint="eastAsia" w:ascii="宋体" w:hAnsi="宋体"/>
                <w:bCs/>
                <w:iCs/>
                <w:sz w:val="24"/>
              </w:rPr>
              <w:t>8</w:t>
            </w:r>
            <w:r>
              <w:rPr>
                <w:rStyle w:val="7"/>
                <w:rFonts w:ascii="宋体" w:hAnsi="宋体"/>
                <w:bCs/>
                <w:iCs/>
                <w:sz w:val="24"/>
              </w:rPr>
              <w:t>日</w:t>
            </w:r>
          </w:p>
        </w:tc>
      </w:tr>
    </w:tbl>
    <w:p>
      <w:pPr>
        <w:spacing w:line="360" w:lineRule="auto"/>
        <w:jc w:val="left"/>
        <w:rPr>
          <w:rStyle w:val="7"/>
          <w:rFonts w:ascii="宋体" w:hAnsi="宋体"/>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characterSpacingControl w:val="doNotCompress"/>
  <w:compat>
    <w:balanceSingleByteDoubleByteWidth/>
    <w:doNotLeaveBackslashAlone/>
    <w:doNotExpandShiftReturn/>
    <w:adjustLineHeightInTable/>
    <w:useFELayout/>
    <w:compatSetting w:name="compatibilityMode" w:uri="http://schemas.microsoft.com/office/word" w:val="12"/>
  </w:compat>
  <w:rsids>
    <w:rsidRoot w:val="0022211E"/>
    <w:rsid w:val="00005FA7"/>
    <w:rsid w:val="00057AE4"/>
    <w:rsid w:val="00081D3D"/>
    <w:rsid w:val="000C486D"/>
    <w:rsid w:val="000C4F35"/>
    <w:rsid w:val="000D1F10"/>
    <w:rsid w:val="00103205"/>
    <w:rsid w:val="00110DE8"/>
    <w:rsid w:val="0015093F"/>
    <w:rsid w:val="001E1145"/>
    <w:rsid w:val="001F191E"/>
    <w:rsid w:val="00201345"/>
    <w:rsid w:val="0022211E"/>
    <w:rsid w:val="00222F19"/>
    <w:rsid w:val="00332E5E"/>
    <w:rsid w:val="00371570"/>
    <w:rsid w:val="00387786"/>
    <w:rsid w:val="003B1596"/>
    <w:rsid w:val="004678F9"/>
    <w:rsid w:val="00487A49"/>
    <w:rsid w:val="004F00E5"/>
    <w:rsid w:val="00500DAB"/>
    <w:rsid w:val="00525F7E"/>
    <w:rsid w:val="0058307A"/>
    <w:rsid w:val="005B166D"/>
    <w:rsid w:val="005B4EF6"/>
    <w:rsid w:val="00606D48"/>
    <w:rsid w:val="00622F44"/>
    <w:rsid w:val="0068122E"/>
    <w:rsid w:val="006B5E98"/>
    <w:rsid w:val="006C6D15"/>
    <w:rsid w:val="006D7679"/>
    <w:rsid w:val="00744422"/>
    <w:rsid w:val="0076775C"/>
    <w:rsid w:val="007C652A"/>
    <w:rsid w:val="007D35F5"/>
    <w:rsid w:val="007D4175"/>
    <w:rsid w:val="007D4FE4"/>
    <w:rsid w:val="007E581E"/>
    <w:rsid w:val="00814FD3"/>
    <w:rsid w:val="0081520B"/>
    <w:rsid w:val="008660D4"/>
    <w:rsid w:val="00874952"/>
    <w:rsid w:val="009152F2"/>
    <w:rsid w:val="00937AF5"/>
    <w:rsid w:val="009B2524"/>
    <w:rsid w:val="009D6D09"/>
    <w:rsid w:val="00A128E7"/>
    <w:rsid w:val="00A36A03"/>
    <w:rsid w:val="00A41C80"/>
    <w:rsid w:val="00A5307E"/>
    <w:rsid w:val="00A82882"/>
    <w:rsid w:val="00A83BAF"/>
    <w:rsid w:val="00AD38E6"/>
    <w:rsid w:val="00B11987"/>
    <w:rsid w:val="00B408F7"/>
    <w:rsid w:val="00B94424"/>
    <w:rsid w:val="00C02AD6"/>
    <w:rsid w:val="00C05E07"/>
    <w:rsid w:val="00C65DF6"/>
    <w:rsid w:val="00C768A8"/>
    <w:rsid w:val="00C80D76"/>
    <w:rsid w:val="00D07E0E"/>
    <w:rsid w:val="00D25AA4"/>
    <w:rsid w:val="00D738BE"/>
    <w:rsid w:val="00DA300A"/>
    <w:rsid w:val="00DA5084"/>
    <w:rsid w:val="00DC3EE9"/>
    <w:rsid w:val="00DE7351"/>
    <w:rsid w:val="00DF39A2"/>
    <w:rsid w:val="00E064AD"/>
    <w:rsid w:val="00E3536B"/>
    <w:rsid w:val="00E5244D"/>
    <w:rsid w:val="00E55D97"/>
    <w:rsid w:val="00E855D0"/>
    <w:rsid w:val="00E93FF4"/>
    <w:rsid w:val="00EA0645"/>
    <w:rsid w:val="00EA647D"/>
    <w:rsid w:val="00EB0518"/>
    <w:rsid w:val="00EB5DDB"/>
    <w:rsid w:val="00EE25F4"/>
    <w:rsid w:val="00EF46B3"/>
    <w:rsid w:val="00EF60D6"/>
    <w:rsid w:val="00EF70D7"/>
    <w:rsid w:val="00F45868"/>
    <w:rsid w:val="00F769E6"/>
    <w:rsid w:val="00F9280D"/>
    <w:rsid w:val="00F93DC3"/>
    <w:rsid w:val="00FA1297"/>
    <w:rsid w:val="018A2030"/>
    <w:rsid w:val="01F73F85"/>
    <w:rsid w:val="04DB2A85"/>
    <w:rsid w:val="05A8673E"/>
    <w:rsid w:val="07E21993"/>
    <w:rsid w:val="09ED7BC3"/>
    <w:rsid w:val="0A513EF4"/>
    <w:rsid w:val="0F5F4A3E"/>
    <w:rsid w:val="1073569C"/>
    <w:rsid w:val="1078223A"/>
    <w:rsid w:val="115B5732"/>
    <w:rsid w:val="120E58A2"/>
    <w:rsid w:val="134A22E1"/>
    <w:rsid w:val="14E92568"/>
    <w:rsid w:val="14EA0F69"/>
    <w:rsid w:val="15232298"/>
    <w:rsid w:val="16376096"/>
    <w:rsid w:val="1A4673B5"/>
    <w:rsid w:val="1B5319E3"/>
    <w:rsid w:val="1BC6055E"/>
    <w:rsid w:val="1BFE60B2"/>
    <w:rsid w:val="1C6B6A39"/>
    <w:rsid w:val="1CBD00E8"/>
    <w:rsid w:val="1FF50555"/>
    <w:rsid w:val="21143FEB"/>
    <w:rsid w:val="21C244F9"/>
    <w:rsid w:val="220D3ED8"/>
    <w:rsid w:val="22C9024F"/>
    <w:rsid w:val="23AB07F1"/>
    <w:rsid w:val="24971EEC"/>
    <w:rsid w:val="25733901"/>
    <w:rsid w:val="26F977A3"/>
    <w:rsid w:val="27FE2942"/>
    <w:rsid w:val="2991528F"/>
    <w:rsid w:val="2AA62E99"/>
    <w:rsid w:val="2B83699C"/>
    <w:rsid w:val="2B934C8C"/>
    <w:rsid w:val="2DD91531"/>
    <w:rsid w:val="2F1B113A"/>
    <w:rsid w:val="31AE41C3"/>
    <w:rsid w:val="32B37A41"/>
    <w:rsid w:val="33EE0B12"/>
    <w:rsid w:val="34742D29"/>
    <w:rsid w:val="354D4669"/>
    <w:rsid w:val="35650F9F"/>
    <w:rsid w:val="35FF02DB"/>
    <w:rsid w:val="38D048E6"/>
    <w:rsid w:val="41D647B9"/>
    <w:rsid w:val="43037788"/>
    <w:rsid w:val="43FD313F"/>
    <w:rsid w:val="44973F8C"/>
    <w:rsid w:val="454B7AF0"/>
    <w:rsid w:val="461155D5"/>
    <w:rsid w:val="464F535A"/>
    <w:rsid w:val="46B50B3D"/>
    <w:rsid w:val="472E2DC8"/>
    <w:rsid w:val="4A8E0001"/>
    <w:rsid w:val="4AC44538"/>
    <w:rsid w:val="4DF447B7"/>
    <w:rsid w:val="4E0825A9"/>
    <w:rsid w:val="4EC76EE5"/>
    <w:rsid w:val="4EE26B11"/>
    <w:rsid w:val="4FAD233A"/>
    <w:rsid w:val="500D1522"/>
    <w:rsid w:val="53691744"/>
    <w:rsid w:val="53CC3AF9"/>
    <w:rsid w:val="54185D67"/>
    <w:rsid w:val="551F7F2D"/>
    <w:rsid w:val="552E363A"/>
    <w:rsid w:val="55DC7495"/>
    <w:rsid w:val="56B70D0D"/>
    <w:rsid w:val="573A5BEC"/>
    <w:rsid w:val="5C0D5CD2"/>
    <w:rsid w:val="5D8B23DE"/>
    <w:rsid w:val="5E055718"/>
    <w:rsid w:val="5EA70E76"/>
    <w:rsid w:val="5FC24F96"/>
    <w:rsid w:val="615E4BA8"/>
    <w:rsid w:val="619F2A32"/>
    <w:rsid w:val="63ED600F"/>
    <w:rsid w:val="66494163"/>
    <w:rsid w:val="67F3564E"/>
    <w:rsid w:val="685C00D3"/>
    <w:rsid w:val="692A50A2"/>
    <w:rsid w:val="6998146D"/>
    <w:rsid w:val="69A9300B"/>
    <w:rsid w:val="6AA73689"/>
    <w:rsid w:val="6B65610A"/>
    <w:rsid w:val="6C5307DE"/>
    <w:rsid w:val="6F361182"/>
    <w:rsid w:val="6F8C5CC7"/>
    <w:rsid w:val="6F99080B"/>
    <w:rsid w:val="719C7EA4"/>
    <w:rsid w:val="73F30AFC"/>
    <w:rsid w:val="748F3354"/>
    <w:rsid w:val="7496112B"/>
    <w:rsid w:val="74D85E71"/>
    <w:rsid w:val="75CA51FB"/>
    <w:rsid w:val="7AB65469"/>
    <w:rsid w:val="7C343849"/>
    <w:rsid w:val="7D022120"/>
    <w:rsid w:val="7D8D6925"/>
    <w:rsid w:val="7E2405CB"/>
    <w:rsid w:val="7E4001EC"/>
    <w:rsid w:val="7F6E12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semiHidden/>
    <w:unhideWhenUsed/>
    <w:qFormat/>
    <w:uiPriority w:val="99"/>
    <w:pPr>
      <w:tabs>
        <w:tab w:val="center" w:pos="4153"/>
        <w:tab w:val="right" w:pos="8306"/>
      </w:tabs>
      <w:snapToGrid w:val="0"/>
      <w:jc w:val="left"/>
    </w:pPr>
    <w:rPr>
      <w:sz w:val="18"/>
      <w:szCs w:val="18"/>
    </w:rPr>
  </w:style>
  <w:style w:type="paragraph" w:styleId="3">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kern w:val="0"/>
      <w:sz w:val="24"/>
    </w:rPr>
  </w:style>
  <w:style w:type="character" w:customStyle="1" w:styleId="7">
    <w:name w:val="NormalCharacter"/>
    <w:qFormat/>
    <w:uiPriority w:val="0"/>
  </w:style>
  <w:style w:type="table" w:customStyle="1" w:styleId="8">
    <w:name w:val="TableNormal"/>
    <w:qFormat/>
    <w:uiPriority w:val="0"/>
    <w:tblPr>
      <w:tblCellMar>
        <w:top w:w="0" w:type="dxa"/>
        <w:left w:w="0" w:type="dxa"/>
        <w:bottom w:w="0" w:type="dxa"/>
        <w:right w:w="0" w:type="dxa"/>
      </w:tblCellMar>
    </w:tblPr>
  </w:style>
  <w:style w:type="character" w:customStyle="1" w:styleId="9">
    <w:name w:val="UserStyle_0"/>
    <w:link w:val="10"/>
    <w:qFormat/>
    <w:uiPriority w:val="0"/>
    <w:rPr>
      <w:kern w:val="2"/>
      <w:sz w:val="18"/>
      <w:szCs w:val="18"/>
    </w:rPr>
  </w:style>
  <w:style w:type="paragraph" w:customStyle="1" w:styleId="10">
    <w:name w:val="页眉1"/>
    <w:basedOn w:val="1"/>
    <w:link w:val="9"/>
    <w:qFormat/>
    <w:uiPriority w:val="0"/>
    <w:pPr>
      <w:pBdr>
        <w:bottom w:val="single" w:color="000000" w:sz="6" w:space="1"/>
      </w:pBdr>
      <w:tabs>
        <w:tab w:val="center" w:pos="4153"/>
        <w:tab w:val="right" w:pos="8306"/>
      </w:tabs>
      <w:snapToGrid w:val="0"/>
      <w:jc w:val="center"/>
    </w:pPr>
    <w:rPr>
      <w:sz w:val="18"/>
      <w:szCs w:val="18"/>
    </w:rPr>
  </w:style>
  <w:style w:type="character" w:customStyle="1" w:styleId="11">
    <w:name w:val="UserStyle_1"/>
    <w:link w:val="12"/>
    <w:qFormat/>
    <w:uiPriority w:val="0"/>
    <w:rPr>
      <w:kern w:val="2"/>
      <w:sz w:val="18"/>
      <w:szCs w:val="18"/>
    </w:rPr>
  </w:style>
  <w:style w:type="paragraph" w:customStyle="1" w:styleId="12">
    <w:name w:val="页脚1"/>
    <w:basedOn w:val="1"/>
    <w:link w:val="11"/>
    <w:qFormat/>
    <w:uiPriority w:val="0"/>
    <w:pPr>
      <w:tabs>
        <w:tab w:val="center" w:pos="4153"/>
        <w:tab w:val="right" w:pos="8306"/>
      </w:tabs>
      <w:snapToGrid w:val="0"/>
      <w:jc w:val="left"/>
    </w:pPr>
    <w:rPr>
      <w:sz w:val="18"/>
      <w:szCs w:val="18"/>
    </w:rPr>
  </w:style>
  <w:style w:type="paragraph" w:customStyle="1" w:styleId="13">
    <w:name w:val="Acetate"/>
    <w:basedOn w:val="1"/>
    <w:qFormat/>
    <w:uiPriority w:val="0"/>
    <w:rPr>
      <w:sz w:val="18"/>
      <w:szCs w:val="18"/>
    </w:rPr>
  </w:style>
  <w:style w:type="character" w:customStyle="1" w:styleId="14">
    <w:name w:val="页眉 Char"/>
    <w:basedOn w:val="6"/>
    <w:link w:val="3"/>
    <w:semiHidden/>
    <w:qFormat/>
    <w:uiPriority w:val="99"/>
    <w:rPr>
      <w:kern w:val="2"/>
      <w:sz w:val="18"/>
      <w:szCs w:val="18"/>
    </w:rPr>
  </w:style>
  <w:style w:type="character" w:customStyle="1" w:styleId="15">
    <w:name w:val="页脚 Char"/>
    <w:basedOn w:val="6"/>
    <w:link w:val="2"/>
    <w:semiHidden/>
    <w:qFormat/>
    <w:uiPriority w:val="99"/>
    <w:rPr>
      <w:kern w:val="2"/>
      <w:sz w:val="18"/>
      <w:szCs w:val="18"/>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383</Words>
  <Characters>2187</Characters>
  <Lines>18</Lines>
  <Paragraphs>5</Paragraphs>
  <TotalTime>30</TotalTime>
  <ScaleCrop>false</ScaleCrop>
  <LinksUpToDate>false</LinksUpToDate>
  <CharactersWithSpaces>2565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2019-10-30T07:33:00Z</dcterms:created>
  <dc:creator>XJ-CJ3-21</dc:creator>
  <cp:lastModifiedBy>九日</cp:lastModifiedBy>
  <cp:lastPrinted>2021-10-28T05:02:00Z</cp:lastPrinted>
  <dcterms:modified xsi:type="dcterms:W3CDTF">2021-11-12T02:47:45Z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057BCCE8C1954EE39889C306FB8B9ABE</vt:lpwstr>
  </property>
</Properties>
</file>