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after="156" w:line="400" w:lineRule="exact"/>
        <w:ind w:firstLine="720" w:firstLineChars="300"/>
        <w:rPr>
          <w:rStyle w:val="8"/>
          <w:rFonts w:ascii="宋体" w:hAnsi="宋体"/>
          <w:bCs/>
          <w:iCs/>
          <w:color w:val="000000"/>
          <w:sz w:val="24"/>
        </w:rPr>
      </w:pPr>
      <w:r>
        <w:rPr>
          <w:rStyle w:val="8"/>
          <w:rFonts w:ascii="宋体" w:hAnsi="宋体"/>
          <w:bCs/>
          <w:iCs/>
          <w:color w:val="000000"/>
          <w:sz w:val="24"/>
        </w:rPr>
        <w:t>证券代码：002332                  证券简称：仙琚制药</w:t>
      </w:r>
    </w:p>
    <w:p>
      <w:pPr>
        <w:spacing w:before="156" w:after="156" w:line="400" w:lineRule="exact"/>
        <w:ind w:firstLine="720" w:firstLineChars="300"/>
        <w:rPr>
          <w:rStyle w:val="8"/>
          <w:rFonts w:ascii="宋体" w:hAnsi="宋体"/>
          <w:bCs/>
          <w:iCs/>
          <w:color w:val="000000"/>
          <w:sz w:val="24"/>
        </w:rPr>
      </w:pPr>
    </w:p>
    <w:p>
      <w:pPr>
        <w:spacing w:before="156" w:after="156" w:line="400" w:lineRule="exact"/>
        <w:jc w:val="center"/>
        <w:rPr>
          <w:rStyle w:val="8"/>
          <w:rFonts w:ascii="宋体" w:hAnsi="宋体"/>
          <w:b/>
          <w:bCs/>
          <w:iCs/>
          <w:color w:val="000000"/>
          <w:sz w:val="32"/>
          <w:szCs w:val="32"/>
        </w:rPr>
      </w:pPr>
      <w:r>
        <w:rPr>
          <w:rStyle w:val="8"/>
          <w:rFonts w:ascii="宋体" w:hAnsi="宋体"/>
          <w:b/>
          <w:bCs/>
          <w:iCs/>
          <w:color w:val="000000"/>
          <w:sz w:val="32"/>
          <w:szCs w:val="32"/>
        </w:rPr>
        <w:t>浙江仙琚制药股份有限公司投资者关系活动记录表</w:t>
      </w:r>
    </w:p>
    <w:p>
      <w:pPr>
        <w:spacing w:line="400" w:lineRule="exact"/>
        <w:rPr>
          <w:rStyle w:val="8"/>
          <w:rFonts w:hint="eastAsia" w:ascii="宋体" w:hAnsi="宋体" w:eastAsia="宋体"/>
          <w:bCs/>
          <w:iCs/>
          <w:color w:val="FF0000"/>
          <w:sz w:val="24"/>
          <w:lang w:eastAsia="zh-CN"/>
        </w:rPr>
      </w:pPr>
      <w:r>
        <w:rPr>
          <w:rStyle w:val="8"/>
          <w:rFonts w:ascii="宋体" w:hAnsi="宋体"/>
          <w:bCs/>
          <w:iCs/>
          <w:color w:val="000000"/>
          <w:sz w:val="24"/>
        </w:rPr>
        <w:t xml:space="preserve">                                                      编号：20</w:t>
      </w:r>
      <w:r>
        <w:rPr>
          <w:rStyle w:val="8"/>
          <w:rFonts w:hint="eastAsia" w:ascii="宋体" w:hAnsi="宋体"/>
          <w:bCs/>
          <w:iCs/>
          <w:color w:val="000000"/>
          <w:sz w:val="24"/>
        </w:rPr>
        <w:t>21</w:t>
      </w:r>
      <w:r>
        <w:rPr>
          <w:rStyle w:val="8"/>
          <w:rFonts w:ascii="宋体" w:hAnsi="宋体"/>
          <w:bCs/>
          <w:iCs/>
          <w:color w:val="000000"/>
          <w:sz w:val="24"/>
        </w:rPr>
        <w:t>-0</w:t>
      </w:r>
      <w:r>
        <w:rPr>
          <w:rStyle w:val="8"/>
          <w:rFonts w:hint="eastAsia" w:ascii="宋体" w:hAnsi="宋体"/>
          <w:bCs/>
          <w:iCs/>
          <w:sz w:val="24"/>
        </w:rPr>
        <w:t>0</w:t>
      </w:r>
      <w:r>
        <w:rPr>
          <w:rStyle w:val="8"/>
          <w:rFonts w:hint="eastAsia" w:ascii="宋体" w:hAnsi="宋体"/>
          <w:bCs/>
          <w:iCs/>
          <w:sz w:val="24"/>
          <w:lang w:val="en-US" w:eastAsia="zh-CN"/>
        </w:rPr>
        <w:t>8</w:t>
      </w:r>
    </w:p>
    <w:tbl>
      <w:tblPr>
        <w:tblStyle w:val="5"/>
        <w:tblW w:w="802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66"/>
        <w:gridCol w:w="62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80" w:lineRule="atLeast"/>
              <w:rPr>
                <w:rStyle w:val="8"/>
                <w:rFonts w:ascii="宋体" w:hAnsi="宋体"/>
                <w:b/>
                <w:bCs/>
                <w:i w:val="0"/>
                <w:iCs/>
                <w:color w:val="000000"/>
                <w:sz w:val="24"/>
              </w:rPr>
            </w:pPr>
            <w:r>
              <w:rPr>
                <w:rStyle w:val="8"/>
                <w:rFonts w:ascii="宋体" w:hAnsi="宋体"/>
                <w:b/>
                <w:bCs/>
                <w:i w:val="0"/>
                <w:iCs/>
                <w:color w:val="000000"/>
                <w:sz w:val="24"/>
              </w:rPr>
              <w:t>投资者关系</w:t>
            </w:r>
          </w:p>
          <w:p>
            <w:pPr>
              <w:spacing w:line="480" w:lineRule="atLeast"/>
              <w:rPr>
                <w:rStyle w:val="8"/>
                <w:rFonts w:ascii="宋体" w:hAnsi="宋体"/>
                <w:b/>
                <w:bCs/>
                <w:i w:val="0"/>
                <w:iCs/>
                <w:color w:val="000000"/>
                <w:sz w:val="24"/>
              </w:rPr>
            </w:pPr>
            <w:r>
              <w:rPr>
                <w:rStyle w:val="8"/>
                <w:rFonts w:ascii="宋体" w:hAnsi="宋体"/>
                <w:b/>
                <w:bCs/>
                <w:i w:val="0"/>
                <w:iCs/>
                <w:color w:val="000000"/>
                <w:sz w:val="24"/>
              </w:rPr>
              <w:t>活动类别</w:t>
            </w:r>
          </w:p>
          <w:p>
            <w:pPr>
              <w:spacing w:line="480" w:lineRule="atLeast"/>
              <w:rPr>
                <w:rStyle w:val="8"/>
                <w:rFonts w:ascii="宋体" w:hAnsi="宋体"/>
                <w:b/>
                <w:bCs/>
                <w:i w:val="0"/>
                <w:iCs/>
                <w:color w:val="000000"/>
                <w:sz w:val="24"/>
              </w:rPr>
            </w:pPr>
          </w:p>
        </w:tc>
        <w:tc>
          <w:tcPr>
            <w:tcW w:w="6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80" w:lineRule="atLeast"/>
              <w:rPr>
                <w:rStyle w:val="8"/>
                <w:rFonts w:ascii="宋体" w:hAnsi="宋体"/>
                <w:bCs/>
                <w:i w:val="0"/>
                <w:iCs/>
                <w:color w:val="000000"/>
                <w:sz w:val="24"/>
              </w:rPr>
            </w:pPr>
            <w:r>
              <w:rPr>
                <w:rStyle w:val="8"/>
                <w:rFonts w:ascii="宋体" w:hAnsi="宋体"/>
                <w:bCs/>
                <w:i w:val="0"/>
                <w:iCs/>
                <w:color w:val="000000"/>
                <w:sz w:val="24"/>
              </w:rPr>
              <w:sym w:font="Wingdings 2" w:char="0052"/>
            </w:r>
            <w:r>
              <w:rPr>
                <w:rStyle w:val="8"/>
                <w:rFonts w:ascii="宋体" w:hAnsi="宋体"/>
                <w:i w:val="0"/>
                <w:iCs/>
                <w:sz w:val="24"/>
              </w:rPr>
              <w:t xml:space="preserve">特定对象调研       </w:t>
            </w:r>
            <w:r>
              <w:rPr>
                <w:rStyle w:val="8"/>
                <w:rFonts w:ascii="宋体" w:hAnsi="宋体"/>
                <w:bCs/>
                <w:i w:val="0"/>
                <w:iCs/>
                <w:color w:val="000000"/>
                <w:sz w:val="24"/>
              </w:rPr>
              <w:t>□</w:t>
            </w:r>
            <w:r>
              <w:rPr>
                <w:rStyle w:val="8"/>
                <w:rFonts w:ascii="宋体" w:hAnsi="宋体"/>
                <w:i w:val="0"/>
                <w:iCs/>
                <w:sz w:val="24"/>
              </w:rPr>
              <w:t>分析师会议</w:t>
            </w:r>
          </w:p>
          <w:p>
            <w:pPr>
              <w:spacing w:line="480" w:lineRule="atLeast"/>
              <w:rPr>
                <w:rStyle w:val="8"/>
                <w:rFonts w:ascii="宋体" w:hAnsi="宋体"/>
                <w:bCs/>
                <w:i w:val="0"/>
                <w:iCs/>
                <w:color w:val="000000"/>
                <w:sz w:val="24"/>
              </w:rPr>
            </w:pPr>
            <w:r>
              <w:rPr>
                <w:rStyle w:val="8"/>
                <w:rFonts w:ascii="宋体" w:hAnsi="宋体"/>
                <w:bCs/>
                <w:i w:val="0"/>
                <w:iCs/>
                <w:color w:val="000000"/>
                <w:sz w:val="24"/>
              </w:rPr>
              <w:sym w:font="Wingdings 2" w:char="00A3"/>
            </w:r>
            <w:r>
              <w:rPr>
                <w:rStyle w:val="8"/>
                <w:rFonts w:ascii="宋体" w:hAnsi="宋体"/>
                <w:i w:val="0"/>
                <w:iCs/>
                <w:sz w:val="24"/>
              </w:rPr>
              <w:t xml:space="preserve">媒体采访           </w:t>
            </w:r>
            <w:r>
              <w:rPr>
                <w:rStyle w:val="8"/>
                <w:rFonts w:ascii="宋体" w:hAnsi="宋体"/>
                <w:bCs/>
                <w:i w:val="0"/>
                <w:iCs/>
                <w:color w:val="000000"/>
                <w:sz w:val="24"/>
              </w:rPr>
              <w:t>□</w:t>
            </w:r>
            <w:r>
              <w:rPr>
                <w:rStyle w:val="8"/>
                <w:rFonts w:ascii="宋体" w:hAnsi="宋体"/>
                <w:i w:val="0"/>
                <w:iCs/>
                <w:sz w:val="24"/>
              </w:rPr>
              <w:t>业绩说明会</w:t>
            </w:r>
          </w:p>
          <w:p>
            <w:pPr>
              <w:spacing w:line="480" w:lineRule="atLeast"/>
              <w:rPr>
                <w:rStyle w:val="8"/>
                <w:rFonts w:ascii="宋体" w:hAnsi="宋体"/>
                <w:bCs/>
                <w:i w:val="0"/>
                <w:iCs/>
                <w:color w:val="000000"/>
                <w:sz w:val="24"/>
              </w:rPr>
            </w:pPr>
            <w:r>
              <w:rPr>
                <w:rStyle w:val="8"/>
                <w:rFonts w:ascii="宋体" w:hAnsi="宋体"/>
                <w:bCs/>
                <w:i w:val="0"/>
                <w:iCs/>
                <w:color w:val="000000"/>
                <w:sz w:val="24"/>
              </w:rPr>
              <w:t>□</w:t>
            </w:r>
            <w:r>
              <w:rPr>
                <w:rStyle w:val="8"/>
                <w:rFonts w:ascii="宋体" w:hAnsi="宋体"/>
                <w:i w:val="0"/>
                <w:iCs/>
                <w:sz w:val="24"/>
              </w:rPr>
              <w:t xml:space="preserve">新闻发布会         </w:t>
            </w:r>
            <w:r>
              <w:rPr>
                <w:rStyle w:val="8"/>
                <w:rFonts w:ascii="宋体" w:hAnsi="宋体"/>
                <w:bCs/>
                <w:i w:val="0"/>
                <w:iCs/>
                <w:color w:val="000000"/>
                <w:sz w:val="24"/>
              </w:rPr>
              <w:t>□</w:t>
            </w:r>
            <w:r>
              <w:rPr>
                <w:rStyle w:val="8"/>
                <w:rFonts w:ascii="宋体" w:hAnsi="宋体"/>
                <w:i w:val="0"/>
                <w:iCs/>
                <w:sz w:val="24"/>
              </w:rPr>
              <w:t>路演活动</w:t>
            </w:r>
          </w:p>
          <w:p>
            <w:pPr>
              <w:tabs>
                <w:tab w:val="center" w:pos="3199"/>
              </w:tabs>
              <w:spacing w:line="480" w:lineRule="atLeast"/>
              <w:rPr>
                <w:rStyle w:val="8"/>
                <w:rFonts w:ascii="宋体" w:hAnsi="宋体"/>
                <w:bCs/>
                <w:i w:val="0"/>
                <w:iCs/>
                <w:color w:val="000000"/>
                <w:sz w:val="24"/>
              </w:rPr>
            </w:pPr>
            <w:r>
              <w:rPr>
                <w:rStyle w:val="8"/>
                <w:rFonts w:ascii="宋体" w:hAnsi="宋体"/>
                <w:bCs/>
                <w:i w:val="0"/>
                <w:iCs/>
                <w:color w:val="000000"/>
                <w:sz w:val="24"/>
              </w:rPr>
              <w:sym w:font="Wingdings 2" w:char="00A3"/>
            </w:r>
            <w:r>
              <w:rPr>
                <w:rStyle w:val="8"/>
                <w:rFonts w:ascii="宋体" w:hAnsi="宋体"/>
                <w:i w:val="0"/>
                <w:iCs/>
                <w:sz w:val="24"/>
              </w:rPr>
              <w:t>现场参观</w:t>
            </w:r>
            <w:r>
              <w:rPr>
                <w:rStyle w:val="8"/>
                <w:rFonts w:hint="eastAsia" w:ascii="宋体" w:hAnsi="宋体"/>
                <w:i w:val="0"/>
                <w:iCs/>
                <w:sz w:val="24"/>
                <w:lang w:val="en-US" w:eastAsia="zh-CN"/>
              </w:rPr>
              <w:t xml:space="preserve">           </w:t>
            </w:r>
            <w:r>
              <w:rPr>
                <w:rStyle w:val="8"/>
                <w:rFonts w:ascii="宋体" w:hAnsi="宋体"/>
                <w:bCs/>
                <w:i w:val="0"/>
                <w:iCs/>
                <w:color w:val="000000"/>
                <w:sz w:val="24"/>
              </w:rPr>
              <w:sym w:font="Wingdings 2" w:char="00A3"/>
            </w:r>
            <w:r>
              <w:rPr>
                <w:rStyle w:val="8"/>
                <w:rFonts w:ascii="宋体" w:hAnsi="宋体"/>
                <w:i w:val="0"/>
                <w:iCs/>
                <w:sz w:val="24"/>
              </w:rPr>
              <w:t xml:space="preserve">其他 </w:t>
            </w:r>
            <w:r>
              <w:rPr>
                <w:rStyle w:val="8"/>
                <w:rFonts w:ascii="宋体" w:hAnsi="宋体"/>
                <w:i w:val="0"/>
                <w:iCs/>
                <w:sz w:val="24"/>
                <w:szCs w:val="22"/>
              </w:rPr>
              <w:t>电话会议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80" w:lineRule="atLeast"/>
              <w:rPr>
                <w:rStyle w:val="8"/>
                <w:rFonts w:ascii="宋体" w:hAnsi="宋体"/>
                <w:b/>
                <w:bCs/>
                <w:i w:val="0"/>
                <w:iCs/>
                <w:color w:val="000000"/>
                <w:sz w:val="24"/>
              </w:rPr>
            </w:pPr>
            <w:r>
              <w:rPr>
                <w:rStyle w:val="8"/>
                <w:rFonts w:ascii="宋体" w:hAnsi="宋体"/>
                <w:b/>
                <w:bCs/>
                <w:i w:val="0"/>
                <w:iCs/>
                <w:color w:val="000000"/>
                <w:sz w:val="24"/>
              </w:rPr>
              <w:t>参与单位名称</w:t>
            </w:r>
          </w:p>
        </w:tc>
        <w:tc>
          <w:tcPr>
            <w:tcW w:w="6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cs="宋体"/>
                <w:i w:val="0"/>
                <w:i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/>
                <w:sz w:val="24"/>
                <w:lang w:val="en-US" w:eastAsia="zh-CN"/>
              </w:rPr>
              <w:t xml:space="preserve">长江证券  东吴证券  中融基金  兴业资管 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cs="宋体"/>
                <w:i w:val="0"/>
                <w:i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/>
                <w:sz w:val="24"/>
                <w:lang w:val="en-US" w:eastAsia="zh-CN"/>
              </w:rPr>
              <w:t>天弘基金  德邦基金  兴业基金  淳厚基金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cs="宋体"/>
                <w:i w:val="0"/>
                <w:i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/>
                <w:sz w:val="24"/>
                <w:lang w:val="en-US" w:eastAsia="zh-CN"/>
              </w:rPr>
              <w:t xml:space="preserve">工银安盛  广发资管  万家基金  国海自营 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cs="宋体"/>
                <w:i w:val="0"/>
                <w:i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/>
                <w:sz w:val="24"/>
                <w:lang w:val="en-US" w:eastAsia="zh-CN"/>
              </w:rPr>
              <w:t xml:space="preserve">安信基金  和谐汇一  中金基金  圆信永丰 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cs="宋体"/>
                <w:i w:val="0"/>
                <w:i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/>
                <w:sz w:val="24"/>
                <w:lang w:val="en-US" w:eastAsia="zh-CN"/>
              </w:rPr>
              <w:t xml:space="preserve">大成基金  嘉实基金  睿扬投资  汇海证券  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cs="宋体"/>
                <w:i w:val="0"/>
                <w:i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/>
                <w:sz w:val="24"/>
                <w:lang w:val="en-US" w:eastAsia="zh-CN"/>
              </w:rPr>
              <w:t>长江资管  永安富高  国泰君安  富安达基金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cs="宋体"/>
                <w:i w:val="0"/>
                <w:i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/>
                <w:sz w:val="24"/>
                <w:lang w:val="en-US" w:eastAsia="zh-CN"/>
              </w:rPr>
              <w:t>睿扬投资  久鹏资产  长江养老  高毅资产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cs="宋体"/>
                <w:i w:val="0"/>
                <w:i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/>
                <w:sz w:val="24"/>
                <w:lang w:val="en-US" w:eastAsia="zh-CN"/>
              </w:rPr>
              <w:t>彤源投资  和谐江一  域秀资本  丰琰投资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eastAsia="宋体"/>
                <w:i w:val="0"/>
                <w:i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/>
                <w:sz w:val="24"/>
                <w:lang w:val="en-US" w:eastAsia="zh-CN"/>
              </w:rPr>
              <w:t xml:space="preserve">德邦基金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80" w:lineRule="atLeast"/>
              <w:rPr>
                <w:rStyle w:val="8"/>
                <w:rFonts w:ascii="宋体" w:hAnsi="宋体"/>
                <w:b/>
                <w:bCs/>
                <w:i w:val="0"/>
                <w:iCs/>
                <w:sz w:val="24"/>
              </w:rPr>
            </w:pPr>
            <w:r>
              <w:rPr>
                <w:rStyle w:val="8"/>
                <w:rFonts w:ascii="宋体" w:hAnsi="宋体"/>
                <w:b/>
                <w:bCs/>
                <w:i w:val="0"/>
                <w:iCs/>
                <w:sz w:val="24"/>
              </w:rPr>
              <w:t>时间</w:t>
            </w:r>
          </w:p>
        </w:tc>
        <w:tc>
          <w:tcPr>
            <w:tcW w:w="6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80" w:lineRule="atLeast"/>
              <w:rPr>
                <w:rStyle w:val="8"/>
                <w:rFonts w:ascii="宋体" w:hAnsi="宋体"/>
                <w:bCs/>
                <w:i w:val="0"/>
                <w:iCs/>
                <w:sz w:val="24"/>
              </w:rPr>
            </w:pPr>
            <w:r>
              <w:rPr>
                <w:rStyle w:val="8"/>
                <w:rFonts w:ascii="宋体" w:hAnsi="宋体"/>
                <w:bCs/>
                <w:i w:val="0"/>
                <w:iCs/>
                <w:sz w:val="24"/>
              </w:rPr>
              <w:t>20</w:t>
            </w:r>
            <w:r>
              <w:rPr>
                <w:rStyle w:val="8"/>
                <w:rFonts w:hint="eastAsia" w:ascii="宋体" w:hAnsi="宋体"/>
                <w:bCs/>
                <w:i w:val="0"/>
                <w:iCs/>
                <w:sz w:val="24"/>
              </w:rPr>
              <w:t>21</w:t>
            </w:r>
            <w:r>
              <w:rPr>
                <w:rStyle w:val="8"/>
                <w:rFonts w:ascii="宋体" w:hAnsi="宋体"/>
                <w:bCs/>
                <w:i w:val="0"/>
                <w:iCs/>
                <w:sz w:val="24"/>
              </w:rPr>
              <w:t>年</w:t>
            </w:r>
            <w:r>
              <w:rPr>
                <w:rStyle w:val="8"/>
                <w:rFonts w:hint="eastAsia" w:ascii="宋体" w:hAnsi="宋体"/>
                <w:bCs/>
                <w:i w:val="0"/>
                <w:iCs/>
                <w:sz w:val="24"/>
              </w:rPr>
              <w:t>1</w:t>
            </w:r>
            <w:r>
              <w:rPr>
                <w:rStyle w:val="8"/>
                <w:rFonts w:hint="eastAsia" w:ascii="宋体" w:hAnsi="宋体"/>
                <w:bCs/>
                <w:i w:val="0"/>
                <w:iCs/>
                <w:sz w:val="24"/>
                <w:lang w:val="en-US" w:eastAsia="zh-CN"/>
              </w:rPr>
              <w:t>1</w:t>
            </w:r>
            <w:r>
              <w:rPr>
                <w:rStyle w:val="8"/>
                <w:rFonts w:ascii="宋体" w:hAnsi="宋体"/>
                <w:bCs/>
                <w:i w:val="0"/>
                <w:iCs/>
                <w:sz w:val="24"/>
              </w:rPr>
              <w:t>月</w:t>
            </w:r>
            <w:r>
              <w:rPr>
                <w:rStyle w:val="8"/>
                <w:rFonts w:hint="eastAsia" w:ascii="宋体" w:hAnsi="宋体"/>
                <w:bCs/>
                <w:i w:val="0"/>
                <w:iCs/>
                <w:sz w:val="24"/>
                <w:lang w:val="en-US" w:eastAsia="zh-CN"/>
              </w:rPr>
              <w:t>10</w:t>
            </w:r>
            <w:r>
              <w:rPr>
                <w:rStyle w:val="8"/>
                <w:rFonts w:ascii="宋体" w:hAnsi="宋体"/>
                <w:bCs/>
                <w:i w:val="0"/>
                <w:iCs/>
                <w:sz w:val="24"/>
              </w:rPr>
              <w:t>日</w:t>
            </w:r>
            <w:r>
              <w:rPr>
                <w:rStyle w:val="8"/>
                <w:rFonts w:hint="eastAsia" w:ascii="宋体" w:hAnsi="宋体"/>
                <w:bCs/>
                <w:i w:val="0"/>
                <w:iCs/>
                <w:sz w:val="24"/>
              </w:rPr>
              <w:t>下午1</w:t>
            </w:r>
            <w:r>
              <w:rPr>
                <w:rStyle w:val="8"/>
                <w:rFonts w:hint="eastAsia" w:ascii="宋体" w:hAnsi="宋体"/>
                <w:bCs/>
                <w:i w:val="0"/>
                <w:iCs/>
                <w:sz w:val="24"/>
                <w:lang w:val="en-US" w:eastAsia="zh-CN"/>
              </w:rPr>
              <w:t>3</w:t>
            </w:r>
            <w:r>
              <w:rPr>
                <w:rStyle w:val="8"/>
                <w:rFonts w:hint="eastAsia" w:ascii="宋体" w:hAnsi="宋体"/>
                <w:bCs/>
                <w:i w:val="0"/>
                <w:iCs/>
                <w:sz w:val="24"/>
              </w:rPr>
              <w:t>:</w:t>
            </w:r>
            <w:r>
              <w:rPr>
                <w:rStyle w:val="8"/>
                <w:rFonts w:hint="eastAsia" w:ascii="宋体" w:hAnsi="宋体"/>
                <w:bCs/>
                <w:i w:val="0"/>
                <w:iCs/>
                <w:sz w:val="24"/>
                <w:lang w:val="en-US" w:eastAsia="zh-CN"/>
              </w:rPr>
              <w:t>3</w:t>
            </w:r>
            <w:r>
              <w:rPr>
                <w:rStyle w:val="8"/>
                <w:rFonts w:hint="eastAsia" w:ascii="宋体" w:hAnsi="宋体"/>
                <w:bCs/>
                <w:i w:val="0"/>
                <w:iCs/>
                <w:sz w:val="24"/>
              </w:rPr>
              <w:t>0-1</w:t>
            </w:r>
            <w:r>
              <w:rPr>
                <w:rStyle w:val="8"/>
                <w:rFonts w:hint="eastAsia" w:ascii="宋体" w:hAnsi="宋体"/>
                <w:bCs/>
                <w:i w:val="0"/>
                <w:iCs/>
                <w:sz w:val="24"/>
                <w:lang w:val="en-US" w:eastAsia="zh-CN"/>
              </w:rPr>
              <w:t>5</w:t>
            </w:r>
            <w:r>
              <w:rPr>
                <w:rStyle w:val="8"/>
                <w:rFonts w:hint="eastAsia" w:ascii="宋体" w:hAnsi="宋体"/>
                <w:bCs/>
                <w:i w:val="0"/>
                <w:iCs/>
                <w:sz w:val="24"/>
              </w:rPr>
              <w:t>:0</w:t>
            </w:r>
            <w:bookmarkStart w:id="0" w:name="_GoBack"/>
            <w:bookmarkEnd w:id="0"/>
            <w:r>
              <w:rPr>
                <w:rStyle w:val="8"/>
                <w:rFonts w:hint="eastAsia" w:ascii="宋体" w:hAnsi="宋体"/>
                <w:bCs/>
                <w:i w:val="0"/>
                <w:iCs/>
                <w:sz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80" w:lineRule="atLeast"/>
              <w:rPr>
                <w:rStyle w:val="8"/>
                <w:rFonts w:ascii="宋体" w:hAnsi="宋体"/>
                <w:b/>
                <w:bCs/>
                <w:i w:val="0"/>
                <w:iCs/>
                <w:sz w:val="24"/>
              </w:rPr>
            </w:pPr>
            <w:r>
              <w:rPr>
                <w:rStyle w:val="8"/>
                <w:rFonts w:ascii="宋体" w:hAnsi="宋体"/>
                <w:b/>
                <w:bCs/>
                <w:i w:val="0"/>
                <w:iCs/>
                <w:sz w:val="24"/>
              </w:rPr>
              <w:t>地点</w:t>
            </w:r>
          </w:p>
        </w:tc>
        <w:tc>
          <w:tcPr>
            <w:tcW w:w="6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80" w:lineRule="atLeast"/>
              <w:rPr>
                <w:rStyle w:val="8"/>
                <w:rFonts w:ascii="宋体" w:hAnsi="宋体"/>
                <w:bCs/>
                <w:i w:val="0"/>
                <w:iCs/>
                <w:sz w:val="24"/>
              </w:rPr>
            </w:pPr>
            <w:r>
              <w:rPr>
                <w:rStyle w:val="8"/>
                <w:rFonts w:ascii="宋体" w:hAnsi="宋体"/>
                <w:bCs/>
                <w:i w:val="0"/>
                <w:iCs/>
                <w:sz w:val="24"/>
              </w:rPr>
              <w:t>浙江仙琚制药股份有限公司会议室</w:t>
            </w:r>
            <w:r>
              <w:rPr>
                <w:rStyle w:val="8"/>
                <w:rFonts w:hint="eastAsia" w:ascii="宋体" w:hAnsi="宋体"/>
                <w:bCs/>
                <w:i w:val="0"/>
                <w:iCs/>
                <w:sz w:val="24"/>
              </w:rPr>
              <w:t>（</w:t>
            </w:r>
            <w:r>
              <w:rPr>
                <w:rStyle w:val="8"/>
                <w:rFonts w:hint="eastAsia" w:ascii="宋体" w:hAnsi="宋体"/>
                <w:bCs/>
                <w:i w:val="0"/>
                <w:iCs/>
                <w:color w:val="auto"/>
                <w:sz w:val="24"/>
                <w:lang w:eastAsia="zh-CN"/>
              </w:rPr>
              <w:t>现场</w:t>
            </w:r>
            <w:r>
              <w:rPr>
                <w:rStyle w:val="8"/>
                <w:rFonts w:hint="eastAsia" w:ascii="宋体" w:hAnsi="宋体"/>
                <w:bCs/>
                <w:i w:val="0"/>
                <w:iCs/>
                <w:sz w:val="24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80" w:lineRule="atLeast"/>
              <w:rPr>
                <w:rStyle w:val="8"/>
                <w:rFonts w:ascii="宋体" w:hAnsi="宋体"/>
                <w:b/>
                <w:bCs/>
                <w:i w:val="0"/>
                <w:iCs/>
                <w:sz w:val="24"/>
              </w:rPr>
            </w:pPr>
            <w:r>
              <w:rPr>
                <w:rStyle w:val="8"/>
                <w:rFonts w:ascii="宋体" w:hAnsi="宋体"/>
                <w:b/>
                <w:bCs/>
                <w:i w:val="0"/>
                <w:iCs/>
                <w:sz w:val="24"/>
              </w:rPr>
              <w:t>上市公司接待人员姓名</w:t>
            </w:r>
          </w:p>
        </w:tc>
        <w:tc>
          <w:tcPr>
            <w:tcW w:w="6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80" w:lineRule="atLeast"/>
              <w:rPr>
                <w:rStyle w:val="8"/>
                <w:rFonts w:ascii="宋体" w:hAnsi="宋体"/>
                <w:bCs/>
                <w:i w:val="0"/>
                <w:iCs/>
                <w:sz w:val="24"/>
              </w:rPr>
            </w:pPr>
            <w:r>
              <w:rPr>
                <w:rStyle w:val="8"/>
                <w:rFonts w:ascii="宋体" w:hAnsi="宋体"/>
                <w:bCs/>
                <w:i w:val="0"/>
                <w:iCs/>
                <w:sz w:val="24"/>
              </w:rPr>
              <w:t>董事会秘书    张王伟</w:t>
            </w:r>
          </w:p>
          <w:p>
            <w:pPr>
              <w:spacing w:line="480" w:lineRule="atLeast"/>
              <w:rPr>
                <w:rStyle w:val="8"/>
                <w:rFonts w:ascii="宋体" w:hAnsi="宋体"/>
                <w:bCs/>
                <w:i w:val="0"/>
                <w:iCs/>
                <w:sz w:val="24"/>
              </w:rPr>
            </w:pPr>
            <w:r>
              <w:rPr>
                <w:rStyle w:val="8"/>
                <w:rFonts w:ascii="宋体" w:hAnsi="宋体"/>
                <w:bCs/>
                <w:i w:val="0"/>
                <w:iCs/>
                <w:sz w:val="24"/>
              </w:rPr>
              <w:t xml:space="preserve">证券事务代表  </w:t>
            </w:r>
            <w:r>
              <w:rPr>
                <w:rStyle w:val="8"/>
                <w:rFonts w:hint="eastAsia" w:ascii="宋体" w:hAnsi="宋体"/>
                <w:bCs/>
                <w:i w:val="0"/>
                <w:iCs/>
                <w:sz w:val="24"/>
              </w:rPr>
              <w:t>沈旭红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7" w:hRule="atLeast"/>
        </w:trPr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tLeast"/>
              <w:rPr>
                <w:rStyle w:val="8"/>
                <w:rFonts w:ascii="宋体" w:hAnsi="宋体"/>
                <w:b/>
                <w:bCs/>
                <w:i w:val="0"/>
                <w:iCs/>
                <w:sz w:val="24"/>
              </w:rPr>
            </w:pPr>
            <w:r>
              <w:rPr>
                <w:rStyle w:val="8"/>
                <w:rFonts w:ascii="宋体" w:hAnsi="宋体"/>
                <w:b/>
                <w:bCs/>
                <w:i w:val="0"/>
                <w:iCs/>
                <w:sz w:val="24"/>
              </w:rPr>
              <w:t>投资者关系活动主要内容介绍</w:t>
            </w:r>
          </w:p>
          <w:p>
            <w:pPr>
              <w:spacing w:line="480" w:lineRule="atLeast"/>
              <w:rPr>
                <w:rStyle w:val="8"/>
                <w:rFonts w:ascii="宋体" w:hAnsi="宋体"/>
                <w:b/>
                <w:bCs/>
                <w:i w:val="0"/>
                <w:iCs/>
                <w:sz w:val="24"/>
              </w:rPr>
            </w:pPr>
          </w:p>
        </w:tc>
        <w:tc>
          <w:tcPr>
            <w:tcW w:w="6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ind w:firstLine="482" w:firstLineChars="200"/>
              <w:jc w:val="left"/>
              <w:rPr>
                <w:rFonts w:hint="eastAsia" w:ascii="宋体" w:hAnsi="宋体" w:cs="宋体"/>
                <w:b/>
                <w:bCs/>
                <w:i w:val="0"/>
                <w:i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/>
                <w:sz w:val="24"/>
                <w:lang w:val="en-US" w:eastAsia="zh-CN"/>
              </w:rPr>
              <w:t>1、限电政策以及原材料上涨对公司的影响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jc w:val="left"/>
              <w:rPr>
                <w:rFonts w:hint="eastAsia" w:ascii="宋体" w:hAnsi="宋体" w:cs="宋体"/>
                <w:i w:val="0"/>
                <w:i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/>
                <w:sz w:val="24"/>
                <w:lang w:val="en-US" w:eastAsia="zh-CN"/>
              </w:rPr>
              <w:t>限电政策具体到园区是分类实施，现有电力供应能满足公司生产需要，生产经营有序。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jc w:val="left"/>
              <w:rPr>
                <w:rFonts w:hint="eastAsia" w:ascii="宋体" w:hAnsi="宋体" w:cs="宋体"/>
                <w:i w:val="0"/>
                <w:i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/>
                <w:sz w:val="24"/>
                <w:lang w:val="en-US" w:eastAsia="zh-CN"/>
              </w:rPr>
              <w:t>公司原料药制剂一体化，中间体、原料药、制剂整个产品链较长，原材料短期波动对成本端的影响较平滑。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jc w:val="left"/>
              <w:rPr>
                <w:rFonts w:hint="default" w:ascii="宋体" w:hAnsi="宋体" w:cs="宋体"/>
                <w:i w:val="0"/>
                <w:iCs/>
                <w:sz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firstLine="482" w:firstLineChars="200"/>
              <w:jc w:val="left"/>
              <w:rPr>
                <w:rFonts w:ascii="宋体" w:hAnsi="宋体" w:cs="宋体"/>
                <w:b/>
                <w:bCs/>
                <w:i w:val="0"/>
                <w:iCs/>
                <w:sz w:val="24"/>
                <w:lang w:val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/>
                <w:sz w:val="24"/>
              </w:rPr>
              <w:t>2、</w:t>
            </w:r>
            <w:r>
              <w:rPr>
                <w:rFonts w:hint="eastAsia" w:ascii="宋体" w:hAnsi="宋体" w:cs="宋体"/>
                <w:b/>
                <w:bCs/>
                <w:i w:val="0"/>
                <w:iCs/>
                <w:sz w:val="24"/>
                <w:lang w:val="zh-CN"/>
              </w:rPr>
              <w:t>公司制剂业务的情况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jc w:val="left"/>
              <w:rPr>
                <w:rFonts w:ascii="宋体" w:hAnsi="宋体" w:cs="宋体"/>
                <w:i w:val="0"/>
                <w:iCs/>
                <w:sz w:val="24"/>
                <w:lang w:val="zh-CN"/>
              </w:rPr>
            </w:pPr>
            <w:r>
              <w:rPr>
                <w:rFonts w:hint="eastAsia" w:ascii="宋体" w:hAnsi="宋体" w:cs="宋体"/>
                <w:i w:val="0"/>
                <w:iCs/>
                <w:sz w:val="24"/>
                <w:lang w:val="zh-CN"/>
              </w:rPr>
              <w:t>呼吸科产品：今年依然保持了高速的增长。主要来自于糠酸莫米松鼻喷剂和噻托溴铵粉雾剂两个品种的增长。其中，噻托溴铵粉雾剂和糠酸莫米松鼻喷剂均处于快速增长期，技术壁垒较高，市场竞争格局良好，市占率有望进一步提升。公司在呼吸科产品线未来也有新的产品梯队布局。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jc w:val="left"/>
              <w:rPr>
                <w:rFonts w:hint="eastAsia" w:ascii="宋体" w:hAnsi="宋体" w:cs="宋体"/>
                <w:i w:val="0"/>
                <w:iCs/>
                <w:sz w:val="24"/>
                <w:lang w:val="zh-CN"/>
              </w:rPr>
            </w:pPr>
            <w:r>
              <w:rPr>
                <w:rFonts w:hint="eastAsia" w:ascii="宋体" w:hAnsi="宋体" w:cs="宋体"/>
                <w:i w:val="0"/>
                <w:iCs/>
                <w:sz w:val="24"/>
                <w:lang w:val="zh-CN"/>
              </w:rPr>
              <w:t>麻醉肌松产品：罗库溴铵注射液前三季度增长较快，目前仍有时间窗口做市场的覆盖和布局。麻醉类的盐酸罗哌卡因注射液，入围第</w:t>
            </w:r>
            <w:r>
              <w:rPr>
                <w:rFonts w:hint="eastAsia" w:ascii="宋体" w:hAnsi="宋体" w:cs="宋体"/>
                <w:i w:val="0"/>
                <w:iCs/>
                <w:sz w:val="24"/>
              </w:rPr>
              <w:t>5批国家集采</w:t>
            </w:r>
            <w:r>
              <w:rPr>
                <w:rFonts w:hint="eastAsia" w:ascii="宋体" w:hAnsi="宋体" w:cs="宋体"/>
                <w:i w:val="0"/>
                <w:iCs/>
                <w:sz w:val="24"/>
                <w:lang w:val="zh-CN"/>
              </w:rPr>
              <w:t>，从销售端的反馈来看，销量有质的提升。公司麻醉肌松类原料药集采之前为自用，集采后的此类原料药销售有足够的增长潜力。公司在麻醉类也有新制剂品种在陆续的研发布局。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jc w:val="left"/>
              <w:rPr>
                <w:rFonts w:ascii="宋体" w:hAnsi="宋体" w:cs="宋体"/>
                <w:i w:val="0"/>
                <w:iCs/>
                <w:sz w:val="24"/>
                <w:lang w:val="zh-CN"/>
              </w:rPr>
            </w:pPr>
            <w:r>
              <w:rPr>
                <w:rFonts w:hint="eastAsia" w:ascii="宋体" w:hAnsi="宋体" w:cs="宋体"/>
                <w:i w:val="0"/>
                <w:iCs/>
                <w:sz w:val="24"/>
                <w:lang w:val="zh-CN"/>
              </w:rPr>
              <w:t>妇科产品：黄体酮胶囊是公司目前妇科类主力产品，但公司也做了该产品集采后的接力产品储备。黄体酮软胶囊研发顺利推进，黄体酮凝胶准备正式B</w:t>
            </w:r>
            <w:r>
              <w:rPr>
                <w:rFonts w:ascii="宋体" w:hAnsi="宋体" w:cs="宋体"/>
                <w:i w:val="0"/>
                <w:iCs/>
                <w:sz w:val="24"/>
                <w:lang w:val="zh-CN"/>
              </w:rPr>
              <w:t>E</w:t>
            </w:r>
            <w:r>
              <w:rPr>
                <w:rFonts w:hint="eastAsia" w:ascii="宋体" w:hAnsi="宋体" w:cs="宋体"/>
                <w:i w:val="0"/>
                <w:iCs/>
                <w:sz w:val="24"/>
                <w:lang w:val="zh-CN"/>
              </w:rPr>
              <w:t>。另外公司开展很多妇科小而美的产品的开发，比如屈螺酮炔䧳醇片、戊酸雌二醇片等。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jc w:val="left"/>
              <w:rPr>
                <w:rFonts w:ascii="宋体" w:hAnsi="宋体" w:cs="宋体"/>
                <w:i w:val="0"/>
                <w:iCs/>
                <w:sz w:val="24"/>
                <w:lang w:val="zh-CN"/>
              </w:rPr>
            </w:pPr>
            <w:r>
              <w:rPr>
                <w:rFonts w:hint="eastAsia" w:ascii="宋体" w:hAnsi="宋体" w:cs="宋体"/>
                <w:i w:val="0"/>
                <w:iCs/>
                <w:sz w:val="24"/>
                <w:lang w:val="zh-CN"/>
              </w:rPr>
              <w:t>皮肤科产品：主要通过OTC的渠道在做，主要产品糠酸莫米松乳膏、曲安奈德益康唑乳膏等，目前不受集采影响，近年一直保持一个较好的增长。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jc w:val="left"/>
              <w:rPr>
                <w:rFonts w:hint="eastAsia" w:ascii="宋体" w:hAnsi="宋体" w:cs="宋体"/>
                <w:i w:val="0"/>
                <w:iCs/>
                <w:sz w:val="24"/>
                <w:lang w:val="zh-CN"/>
              </w:rPr>
            </w:pPr>
            <w:r>
              <w:rPr>
                <w:rFonts w:hint="eastAsia" w:ascii="宋体" w:hAnsi="宋体" w:cs="宋体"/>
                <w:i w:val="0"/>
                <w:iCs/>
                <w:sz w:val="24"/>
                <w:lang w:val="zh-CN"/>
              </w:rPr>
              <w:t>普药产品：普药是仙琚制药的利基和稳定器，总体保持</w:t>
            </w:r>
            <w:r>
              <w:rPr>
                <w:rFonts w:hint="eastAsia" w:ascii="宋体" w:hAnsi="宋体" w:cs="宋体"/>
                <w:i w:val="0"/>
                <w:iCs/>
                <w:sz w:val="24"/>
              </w:rPr>
              <w:t>10%左右的增速。</w:t>
            </w:r>
            <w:r>
              <w:rPr>
                <w:rFonts w:hint="eastAsia" w:ascii="宋体" w:hAnsi="宋体" w:cs="宋体"/>
                <w:i w:val="0"/>
                <w:iCs/>
                <w:sz w:val="24"/>
                <w:lang w:val="zh-CN"/>
              </w:rPr>
              <w:t>普药价格低、量大，消耗原料药多，如果原料药价跌，普药制剂端业绩弹性体现；若原料药涨价，原料药端业绩将弹性体现。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cs="宋体"/>
                <w:i w:val="0"/>
                <w:iCs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firstLine="482" w:firstLineChars="200"/>
              <w:jc w:val="left"/>
              <w:rPr>
                <w:rFonts w:ascii="宋体" w:hAnsi="宋体" w:cs="宋体"/>
                <w:b/>
                <w:bCs/>
                <w:i w:val="0"/>
                <w:iCs/>
                <w:sz w:val="24"/>
                <w:lang w:val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/>
                <w:sz w:val="24"/>
              </w:rPr>
              <w:t>3、</w:t>
            </w:r>
            <w:r>
              <w:rPr>
                <w:rFonts w:hint="eastAsia" w:ascii="宋体" w:hAnsi="宋体" w:cs="宋体"/>
                <w:b/>
                <w:bCs/>
                <w:i w:val="0"/>
                <w:iCs/>
                <w:sz w:val="24"/>
                <w:lang w:val="zh-CN"/>
              </w:rPr>
              <w:t>公司原料药业务的情况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jc w:val="left"/>
              <w:rPr>
                <w:rFonts w:ascii="宋体" w:hAnsi="宋体" w:cs="宋体"/>
                <w:i w:val="0"/>
                <w:iCs/>
                <w:sz w:val="24"/>
                <w:lang w:val="zh-CN"/>
              </w:rPr>
            </w:pPr>
            <w:r>
              <w:rPr>
                <w:rFonts w:hint="eastAsia" w:ascii="宋体" w:hAnsi="宋体" w:cs="宋体"/>
                <w:i w:val="0"/>
                <w:iCs/>
                <w:sz w:val="24"/>
                <w:lang w:val="zh-CN"/>
              </w:rPr>
              <w:t>原料药收入增速同比去年基本持平，单三季度原料药收入略有下滑。主要有以下几个原因：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jc w:val="left"/>
              <w:rPr>
                <w:rFonts w:ascii="宋体" w:hAnsi="宋体" w:cs="宋体"/>
                <w:i w:val="0"/>
                <w:iCs/>
                <w:sz w:val="24"/>
                <w:lang w:val="zh-CN"/>
              </w:rPr>
            </w:pPr>
            <w:r>
              <w:rPr>
                <w:rFonts w:hint="eastAsia" w:ascii="宋体" w:hAnsi="宋体" w:cs="宋体"/>
                <w:i w:val="0"/>
                <w:iCs/>
                <w:sz w:val="24"/>
                <w:lang w:val="zh-CN"/>
              </w:rPr>
              <w:t>1）订单周期的影响：去年三季度有些原料产品的订单去年是三季度执行的，受到客户订单周期的时序影响，预计会在四季度或者明年一季度执行。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jc w:val="left"/>
              <w:rPr>
                <w:rFonts w:ascii="宋体" w:hAnsi="宋体" w:cs="宋体"/>
                <w:i w:val="0"/>
                <w:iCs/>
                <w:sz w:val="24"/>
                <w:lang w:val="zh-CN"/>
              </w:rPr>
            </w:pPr>
            <w:r>
              <w:rPr>
                <w:rFonts w:hint="eastAsia" w:ascii="宋体" w:hAnsi="宋体" w:cs="宋体"/>
                <w:i w:val="0"/>
                <w:iCs/>
                <w:sz w:val="24"/>
                <w:lang w:val="zh-CN"/>
              </w:rPr>
              <w:t>2）新厂区认证因素：部分规范市场由于杨府原料药厂区尚待</w:t>
            </w:r>
            <w:r>
              <w:rPr>
                <w:rFonts w:hint="eastAsia" w:ascii="宋体" w:hAnsi="宋体" w:cs="宋体"/>
                <w:i w:val="0"/>
                <w:iCs/>
                <w:sz w:val="24"/>
                <w:lang w:val="en-US" w:eastAsia="zh-CN"/>
              </w:rPr>
              <w:t>FDA</w:t>
            </w:r>
            <w:r>
              <w:rPr>
                <w:rFonts w:hint="eastAsia" w:ascii="宋体" w:hAnsi="宋体" w:cs="宋体"/>
                <w:i w:val="0"/>
                <w:iCs/>
                <w:sz w:val="24"/>
                <w:lang w:val="zh-CN"/>
              </w:rPr>
              <w:t>认证的，对新客户的开拓有一定影响。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jc w:val="left"/>
              <w:rPr>
                <w:rFonts w:hint="eastAsia" w:ascii="宋体" w:hAnsi="宋体" w:cs="宋体"/>
                <w:i w:val="0"/>
                <w:iCs/>
                <w:sz w:val="24"/>
                <w:lang w:val="zh-CN"/>
              </w:rPr>
            </w:pPr>
            <w:r>
              <w:rPr>
                <w:rFonts w:hint="eastAsia" w:ascii="宋体" w:hAnsi="宋体" w:cs="宋体"/>
                <w:i w:val="0"/>
                <w:iCs/>
                <w:sz w:val="24"/>
                <w:lang w:val="zh-CN"/>
              </w:rPr>
              <w:t>3）高基数影响：去年三季度是原料药单季度销售创季度新高。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jc w:val="left"/>
              <w:rPr>
                <w:rFonts w:hint="eastAsia" w:ascii="宋体" w:hAnsi="宋体" w:cs="宋体"/>
                <w:i w:val="0"/>
                <w:iCs/>
                <w:sz w:val="24"/>
                <w:lang w:val="zh-CN"/>
              </w:rPr>
            </w:pPr>
            <w:r>
              <w:rPr>
                <w:rFonts w:hint="eastAsia" w:ascii="宋体" w:hAnsi="宋体" w:cs="宋体"/>
                <w:i w:val="0"/>
                <w:iCs/>
                <w:sz w:val="24"/>
                <w:lang w:val="zh-CN"/>
              </w:rPr>
              <w:t>总体来看，原料药下游需求端消耗库存已经持续几个季度，预计逐步回暖。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jc w:val="left"/>
              <w:rPr>
                <w:rFonts w:hint="eastAsia" w:ascii="宋体" w:hAnsi="宋体" w:cs="宋体"/>
                <w:i w:val="0"/>
                <w:iCs/>
                <w:sz w:val="24"/>
                <w:lang w:val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ind w:firstLine="482" w:firstLineChars="200"/>
              <w:jc w:val="left"/>
              <w:rPr>
                <w:rStyle w:val="8"/>
                <w:rFonts w:hint="default" w:ascii="宋体" w:hAnsi="宋体"/>
                <w:b/>
                <w:bCs w:val="0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Style w:val="8"/>
                <w:rFonts w:hint="eastAsia" w:ascii="宋体" w:hAnsi="宋体"/>
                <w:b/>
                <w:bCs w:val="0"/>
                <w:sz w:val="24"/>
                <w:szCs w:val="22"/>
                <w:highlight w:val="none"/>
                <w:lang w:val="en-US" w:eastAsia="zh-CN"/>
              </w:rPr>
              <w:t>4、甾体原料药的全球行业格局及变化情况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80" w:firstLineChars="200"/>
              <w:jc w:val="left"/>
              <w:rPr>
                <w:rStyle w:val="8"/>
                <w:rFonts w:hint="default" w:ascii="宋体" w:hAnsi="宋体"/>
                <w:b w:val="0"/>
                <w:bCs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Style w:val="8"/>
                <w:rFonts w:hint="eastAsia" w:ascii="宋体" w:hAnsi="宋体"/>
                <w:b w:val="0"/>
                <w:bCs/>
                <w:sz w:val="24"/>
                <w:szCs w:val="22"/>
                <w:highlight w:val="none"/>
                <w:lang w:val="en-US" w:eastAsia="zh-CN"/>
              </w:rPr>
              <w:t>全球范围内的甾体药物的市场容量大，厂家主要集中在大型跨国制药公司，例如辉瑞、赛诺菲-安万特、GSK、阿斯利康、勃林格殷格翰、拜耳、默克、TEVA、迈兰等公司，每家公司也各具特点，分别在呼吸科、雌激素补充、短效避孕药、皮质激素制剂等某类治疗领域独具特色。</w:t>
            </w:r>
          </w:p>
          <w:p>
            <w:pPr>
              <w:spacing w:line="480" w:lineRule="atLeast"/>
              <w:ind w:firstLine="480" w:firstLineChars="200"/>
              <w:rPr>
                <w:rStyle w:val="8"/>
                <w:rFonts w:hint="eastAsia" w:ascii="宋体" w:hAnsi="宋体"/>
                <w:b w:val="0"/>
                <w:bCs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Style w:val="8"/>
                <w:rFonts w:hint="eastAsia" w:ascii="宋体" w:hAnsi="宋体"/>
                <w:b w:val="0"/>
                <w:bCs/>
                <w:sz w:val="24"/>
                <w:szCs w:val="22"/>
                <w:highlight w:val="none"/>
                <w:lang w:val="en-US" w:eastAsia="zh-CN"/>
              </w:rPr>
              <w:t>仙琚制药依托现有杨府原料药新厂区在皮质激素系列、性激素系列、孕激素系列、非激素系列四个系列中目前均具备良好的产品、产能和技术基础；意大利Newchem厂区主要发展激素高端衍生物。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jc w:val="left"/>
              <w:rPr>
                <w:rFonts w:hint="eastAsia" w:ascii="宋体" w:hAnsi="宋体" w:cs="宋体"/>
                <w:i w:val="0"/>
                <w:iCs/>
                <w:sz w:val="24"/>
                <w:lang w:val="zh-CN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uto"/>
              <w:ind w:right="0" w:firstLine="482" w:firstLineChars="200"/>
              <w:jc w:val="both"/>
              <w:rPr>
                <w:rStyle w:val="8"/>
                <w:rFonts w:hint="eastAsia" w:ascii="宋体" w:hAnsi="宋体"/>
                <w:b/>
                <w:bCs w:val="0"/>
                <w:color w:val="auto"/>
                <w:sz w:val="24"/>
                <w:szCs w:val="22"/>
                <w:lang w:val="en-US" w:eastAsia="zh-CN"/>
              </w:rPr>
            </w:pPr>
            <w:r>
              <w:rPr>
                <w:rStyle w:val="8"/>
                <w:rFonts w:hint="eastAsia" w:ascii="宋体" w:hAnsi="宋体"/>
                <w:b/>
                <w:bCs w:val="0"/>
                <w:color w:val="auto"/>
                <w:sz w:val="24"/>
                <w:szCs w:val="22"/>
                <w:lang w:val="en-US" w:eastAsia="zh-CN"/>
              </w:rPr>
              <w:t>5、公司中长期战略定位及未来的发展布局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80" w:firstLineChars="200"/>
              <w:rPr>
                <w:rStyle w:val="8"/>
                <w:rFonts w:hint="eastAsia" w:ascii="宋体" w:hAnsi="宋体"/>
                <w:bCs/>
                <w:iCs/>
                <w:color w:val="auto"/>
                <w:sz w:val="24"/>
                <w:szCs w:val="22"/>
              </w:rPr>
            </w:pPr>
            <w:r>
              <w:rPr>
                <w:rStyle w:val="8"/>
                <w:rFonts w:hint="eastAsia" w:ascii="宋体" w:hAnsi="宋体"/>
                <w:bCs/>
                <w:iCs/>
                <w:color w:val="auto"/>
                <w:sz w:val="24"/>
                <w:szCs w:val="22"/>
              </w:rPr>
              <w:t>公司</w:t>
            </w:r>
            <w:r>
              <w:rPr>
                <w:rStyle w:val="8"/>
                <w:rFonts w:hint="eastAsia" w:ascii="宋体" w:hAnsi="宋体"/>
                <w:bCs/>
                <w:iCs/>
                <w:color w:val="auto"/>
                <w:sz w:val="24"/>
                <w:szCs w:val="22"/>
                <w:lang w:eastAsia="zh-CN"/>
              </w:rPr>
              <w:t>将长期</w:t>
            </w:r>
            <w:r>
              <w:rPr>
                <w:rStyle w:val="8"/>
                <w:rFonts w:hint="eastAsia" w:ascii="宋体" w:hAnsi="宋体"/>
                <w:bCs/>
                <w:iCs/>
                <w:color w:val="auto"/>
                <w:sz w:val="24"/>
                <w:szCs w:val="22"/>
              </w:rPr>
              <w:t>聚焦甾体激素领域，</w:t>
            </w:r>
            <w:r>
              <w:rPr>
                <w:rStyle w:val="8"/>
                <w:rFonts w:hint="eastAsia" w:ascii="宋体" w:hAnsi="宋体"/>
                <w:bCs/>
                <w:iCs/>
                <w:color w:val="auto"/>
                <w:sz w:val="24"/>
                <w:szCs w:val="22"/>
                <w:lang w:eastAsia="zh-CN"/>
              </w:rPr>
              <w:t>做全、做精激素产业链、不断丰富原料药及制剂产品结构，专注于综合能力提升，不断提升产品的价值，在行业内形成小而美的行业特色</w:t>
            </w:r>
            <w:r>
              <w:rPr>
                <w:rStyle w:val="8"/>
                <w:rFonts w:hint="eastAsia" w:ascii="宋体" w:hAnsi="宋体"/>
                <w:bCs/>
                <w:iCs/>
                <w:color w:val="auto"/>
                <w:sz w:val="24"/>
                <w:szCs w:val="22"/>
              </w:rPr>
              <w:t>。</w:t>
            </w:r>
          </w:p>
          <w:p>
            <w:pPr>
              <w:pStyle w:val="18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jc w:val="both"/>
              <w:rPr>
                <w:rStyle w:val="8"/>
                <w:rFonts w:hint="eastAsia" w:ascii="宋体" w:hAnsi="宋体" w:eastAsia="宋体" w:cs="Times New Roman"/>
                <w:b w:val="0"/>
                <w:bCs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Times New Roman"/>
                <w:b w:val="0"/>
                <w:bCs/>
                <w:color w:val="auto"/>
                <w:kern w:val="2"/>
                <w:sz w:val="24"/>
                <w:szCs w:val="22"/>
                <w:lang w:val="en-US" w:eastAsia="zh-CN" w:bidi="ar-SA"/>
              </w:rPr>
              <w:t>制剂产品线</w:t>
            </w:r>
            <w:r>
              <w:rPr>
                <w:rStyle w:val="8"/>
                <w:rFonts w:hint="eastAsia" w:hAnsi="宋体" w:cs="Times New Roman"/>
                <w:b w:val="0"/>
                <w:bCs/>
                <w:color w:val="auto"/>
                <w:kern w:val="2"/>
                <w:sz w:val="24"/>
                <w:szCs w:val="22"/>
                <w:lang w:val="en-US" w:eastAsia="zh-CN" w:bidi="ar-SA"/>
              </w:rPr>
              <w:t>：</w:t>
            </w:r>
            <w:r>
              <w:rPr>
                <w:rStyle w:val="8"/>
                <w:rFonts w:hint="eastAsia" w:ascii="宋体" w:hAnsi="宋体" w:eastAsia="宋体" w:cs="Times New Roman"/>
                <w:b w:val="0"/>
                <w:bCs/>
                <w:color w:val="auto"/>
                <w:kern w:val="2"/>
                <w:sz w:val="24"/>
                <w:szCs w:val="22"/>
                <w:lang w:val="en-US" w:eastAsia="zh-CN" w:bidi="ar-SA"/>
              </w:rPr>
              <w:t>公司将专注于高壁垒的复杂制剂研究，比如肺部给药、半固体凝胶，力争在无菌混悬、吸入制剂等复杂制剂领域实现研发跨越，不断的技术迭代和技术突破，</w:t>
            </w:r>
            <w:r>
              <w:rPr>
                <w:rStyle w:val="8"/>
                <w:rFonts w:hint="eastAsia" w:hAnsi="宋体" w:cs="Times New Roman"/>
                <w:b w:val="0"/>
                <w:bCs/>
                <w:color w:val="auto"/>
                <w:kern w:val="2"/>
                <w:sz w:val="24"/>
                <w:szCs w:val="22"/>
                <w:lang w:val="en-US" w:eastAsia="zh-CN" w:bidi="ar-SA"/>
              </w:rPr>
              <w:t>实现高难度技术平台突破，体现高价值</w:t>
            </w:r>
            <w:r>
              <w:rPr>
                <w:rStyle w:val="8"/>
                <w:rFonts w:hint="eastAsia" w:ascii="宋体" w:hAnsi="宋体" w:eastAsia="宋体" w:cs="Times New Roman"/>
                <w:b w:val="0"/>
                <w:bCs/>
                <w:color w:val="auto"/>
                <w:kern w:val="2"/>
                <w:sz w:val="24"/>
                <w:szCs w:val="22"/>
                <w:lang w:val="en-US" w:eastAsia="zh-CN" w:bidi="ar-SA"/>
              </w:rPr>
              <w:t>。同时普药</w:t>
            </w:r>
            <w:r>
              <w:rPr>
                <w:rStyle w:val="8"/>
                <w:rFonts w:hint="eastAsia" w:hAnsi="宋体" w:cs="Times New Roman"/>
                <w:b w:val="0"/>
                <w:bCs/>
                <w:color w:val="auto"/>
                <w:kern w:val="2"/>
                <w:sz w:val="24"/>
                <w:szCs w:val="22"/>
                <w:lang w:val="en-US" w:eastAsia="zh-CN" w:bidi="ar-SA"/>
              </w:rPr>
              <w:t>基本属于低价药具备价格弹性、原料药与制剂一体化方面具备成本优势</w:t>
            </w:r>
            <w:r>
              <w:rPr>
                <w:rStyle w:val="8"/>
                <w:rFonts w:hint="eastAsia" w:ascii="宋体" w:hAnsi="宋体" w:eastAsia="宋体" w:cs="Times New Roman"/>
                <w:b w:val="0"/>
                <w:bCs/>
                <w:color w:val="auto"/>
                <w:kern w:val="2"/>
                <w:sz w:val="24"/>
                <w:szCs w:val="22"/>
                <w:lang w:val="en-US" w:eastAsia="zh-CN" w:bidi="ar-SA"/>
              </w:rPr>
              <w:t>，</w:t>
            </w:r>
            <w:r>
              <w:rPr>
                <w:rStyle w:val="8"/>
                <w:rFonts w:hint="eastAsia" w:hAnsi="宋体" w:cs="Times New Roman"/>
                <w:b w:val="0"/>
                <w:bCs/>
                <w:color w:val="auto"/>
                <w:kern w:val="2"/>
                <w:sz w:val="24"/>
                <w:szCs w:val="22"/>
                <w:lang w:val="en-US" w:eastAsia="zh-CN" w:bidi="ar-SA"/>
              </w:rPr>
              <w:t>在一致性评价基础上</w:t>
            </w:r>
            <w:r>
              <w:rPr>
                <w:rStyle w:val="8"/>
                <w:rFonts w:hint="eastAsia" w:ascii="宋体" w:hAnsi="宋体" w:eastAsia="宋体" w:cs="Times New Roman"/>
                <w:b w:val="0"/>
                <w:bCs/>
                <w:color w:val="auto"/>
                <w:kern w:val="2"/>
                <w:sz w:val="24"/>
                <w:szCs w:val="22"/>
                <w:lang w:val="en-US" w:eastAsia="zh-CN" w:bidi="ar-SA"/>
              </w:rPr>
              <w:t>做强做大普药</w:t>
            </w:r>
            <w:r>
              <w:rPr>
                <w:rStyle w:val="8"/>
                <w:rFonts w:hint="eastAsia" w:hAnsi="宋体" w:cs="Times New Roman"/>
                <w:b w:val="0"/>
                <w:bCs/>
                <w:color w:val="auto"/>
                <w:kern w:val="2"/>
                <w:sz w:val="24"/>
                <w:szCs w:val="22"/>
                <w:lang w:val="en-US" w:eastAsia="zh-CN" w:bidi="ar-SA"/>
              </w:rPr>
              <w:t>，丰富品类</w:t>
            </w:r>
            <w:r>
              <w:rPr>
                <w:rStyle w:val="8"/>
                <w:rFonts w:hint="eastAsia" w:ascii="宋体" w:hAnsi="宋体" w:eastAsia="宋体" w:cs="Times New Roman"/>
                <w:b w:val="0"/>
                <w:bCs/>
                <w:color w:val="auto"/>
                <w:kern w:val="2"/>
                <w:sz w:val="24"/>
                <w:szCs w:val="22"/>
                <w:lang w:val="en-US" w:eastAsia="zh-CN" w:bidi="ar-SA"/>
              </w:rPr>
              <w:t>。</w:t>
            </w:r>
          </w:p>
          <w:p>
            <w:pPr>
              <w:pStyle w:val="18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right="0" w:firstLine="480"/>
              <w:jc w:val="both"/>
              <w:rPr>
                <w:rStyle w:val="8"/>
                <w:rFonts w:hint="eastAsia" w:ascii="宋体" w:hAnsi="宋体"/>
                <w:b w:val="0"/>
                <w:bCs/>
                <w:color w:val="auto"/>
                <w:sz w:val="24"/>
                <w:szCs w:val="22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Times New Roman"/>
                <w:b w:val="0"/>
                <w:bCs/>
                <w:color w:val="auto"/>
                <w:kern w:val="2"/>
                <w:sz w:val="24"/>
                <w:szCs w:val="22"/>
                <w:lang w:val="en-US" w:eastAsia="zh-CN" w:bidi="ar-SA"/>
              </w:rPr>
              <w:t>原料药产品线</w:t>
            </w:r>
            <w:r>
              <w:rPr>
                <w:rStyle w:val="8"/>
                <w:rFonts w:hint="eastAsia" w:hAnsi="宋体" w:cs="Times New Roman"/>
                <w:b w:val="0"/>
                <w:bCs/>
                <w:color w:val="auto"/>
                <w:kern w:val="2"/>
                <w:sz w:val="24"/>
                <w:szCs w:val="22"/>
                <w:lang w:val="en-US" w:eastAsia="zh-CN" w:bidi="ar-SA"/>
              </w:rPr>
              <w:t>：最近</w:t>
            </w:r>
            <w:r>
              <w:rPr>
                <w:rStyle w:val="8"/>
                <w:rFonts w:hint="default" w:ascii="宋体" w:hAnsi="宋体" w:eastAsia="宋体" w:cs="Times New Roman"/>
                <w:b w:val="0"/>
                <w:bCs/>
                <w:color w:val="auto"/>
                <w:kern w:val="2"/>
                <w:sz w:val="24"/>
                <w:szCs w:val="22"/>
                <w:lang w:val="en-US" w:eastAsia="zh-CN" w:bidi="ar-SA"/>
              </w:rPr>
              <w:t>国家发展改革委</w:t>
            </w:r>
            <w:r>
              <w:rPr>
                <w:rStyle w:val="8"/>
                <w:rFonts w:hint="eastAsia" w:hAnsi="宋体" w:cs="Times New Roman"/>
                <w:b w:val="0"/>
                <w:bCs/>
                <w:color w:val="auto"/>
                <w:kern w:val="2"/>
                <w:sz w:val="24"/>
                <w:szCs w:val="22"/>
                <w:lang w:val="en-US" w:eastAsia="zh-CN" w:bidi="ar-SA"/>
              </w:rPr>
              <w:t>、</w:t>
            </w:r>
            <w:r>
              <w:rPr>
                <w:rStyle w:val="8"/>
                <w:rFonts w:hint="default" w:ascii="宋体" w:hAnsi="宋体" w:eastAsia="宋体" w:cs="Times New Roman"/>
                <w:b w:val="0"/>
                <w:bCs/>
                <w:color w:val="auto"/>
                <w:kern w:val="2"/>
                <w:sz w:val="24"/>
                <w:szCs w:val="22"/>
                <w:lang w:val="en-US" w:eastAsia="zh-CN" w:bidi="ar-SA"/>
              </w:rPr>
              <w:t>工业和信息化部</w:t>
            </w:r>
            <w:r>
              <w:rPr>
                <w:rStyle w:val="8"/>
                <w:rFonts w:hint="eastAsia" w:ascii="宋体" w:hAnsi="宋体" w:eastAsia="宋体" w:cs="Times New Roman"/>
                <w:b w:val="0"/>
                <w:bCs/>
                <w:color w:val="auto"/>
                <w:kern w:val="2"/>
                <w:sz w:val="24"/>
                <w:szCs w:val="22"/>
                <w:lang w:val="en-US" w:eastAsia="zh-CN" w:bidi="ar-SA"/>
              </w:rPr>
              <w:t>颁发了《</w:t>
            </w:r>
            <w:r>
              <w:rPr>
                <w:rStyle w:val="8"/>
                <w:rFonts w:hint="default" w:ascii="宋体" w:hAnsi="宋体" w:eastAsia="宋体" w:cs="Times New Roman"/>
                <w:b w:val="0"/>
                <w:bCs/>
                <w:color w:val="auto"/>
                <w:kern w:val="2"/>
                <w:sz w:val="24"/>
                <w:szCs w:val="22"/>
                <w:lang w:val="en-US" w:eastAsia="zh-CN" w:bidi="ar-SA"/>
              </w:rPr>
              <w:t>关于推动</w:t>
            </w:r>
            <w:r>
              <w:rPr>
                <w:rStyle w:val="8"/>
                <w:rFonts w:hint="eastAsia" w:ascii="宋体" w:hAnsi="宋体" w:eastAsia="宋体" w:cs="Times New Roman"/>
                <w:b w:val="0"/>
                <w:bCs/>
                <w:color w:val="auto"/>
                <w:kern w:val="2"/>
                <w:sz w:val="24"/>
                <w:szCs w:val="22"/>
                <w:lang w:val="en-US" w:eastAsia="zh-CN" w:bidi="ar-SA"/>
              </w:rPr>
              <w:t>原</w:t>
            </w:r>
            <w:r>
              <w:rPr>
                <w:rStyle w:val="8"/>
                <w:rFonts w:hint="default" w:ascii="宋体" w:hAnsi="宋体" w:eastAsia="宋体" w:cs="Times New Roman"/>
                <w:b w:val="0"/>
                <w:bCs/>
                <w:color w:val="auto"/>
                <w:kern w:val="2"/>
                <w:sz w:val="24"/>
                <w:szCs w:val="22"/>
                <w:lang w:val="en-US" w:eastAsia="zh-CN" w:bidi="ar-SA"/>
              </w:rPr>
              <w:t>料药产业高质量发展实施方案的通知</w:t>
            </w:r>
            <w:r>
              <w:rPr>
                <w:rStyle w:val="8"/>
                <w:rFonts w:hint="eastAsia" w:ascii="宋体" w:hAnsi="宋体" w:eastAsia="宋体" w:cs="Times New Roman"/>
                <w:b w:val="0"/>
                <w:bCs/>
                <w:color w:val="auto"/>
                <w:kern w:val="2"/>
                <w:sz w:val="24"/>
                <w:szCs w:val="22"/>
                <w:lang w:val="en-US" w:eastAsia="zh-CN" w:bidi="ar-SA"/>
              </w:rPr>
              <w:t>》</w:t>
            </w:r>
            <w:r>
              <w:rPr>
                <w:rStyle w:val="8"/>
                <w:rFonts w:hint="eastAsia" w:hAnsi="宋体" w:cs="Times New Roman"/>
                <w:b w:val="0"/>
                <w:bCs/>
                <w:color w:val="auto"/>
                <w:kern w:val="2"/>
                <w:sz w:val="24"/>
                <w:szCs w:val="22"/>
                <w:lang w:val="en-US" w:eastAsia="zh-CN" w:bidi="ar-SA"/>
              </w:rPr>
              <w:t>。</w:t>
            </w:r>
            <w:r>
              <w:rPr>
                <w:rStyle w:val="8"/>
                <w:rFonts w:hint="eastAsia" w:ascii="宋体" w:hAnsi="宋体" w:eastAsia="宋体" w:cs="Times New Roman"/>
                <w:b w:val="0"/>
                <w:bCs/>
                <w:color w:val="auto"/>
                <w:kern w:val="2"/>
                <w:sz w:val="24"/>
                <w:szCs w:val="22"/>
                <w:lang w:val="en-US" w:eastAsia="zh-CN" w:bidi="ar-SA"/>
              </w:rPr>
              <w:t>原料药是公司的根基和优势之一，</w:t>
            </w:r>
            <w:r>
              <w:rPr>
                <w:rStyle w:val="8"/>
                <w:rFonts w:hint="eastAsia" w:hAnsi="宋体" w:cs="Times New Roman"/>
                <w:b w:val="0"/>
                <w:bCs/>
                <w:color w:val="auto"/>
                <w:kern w:val="2"/>
                <w:sz w:val="24"/>
                <w:szCs w:val="22"/>
                <w:lang w:val="en-US" w:eastAsia="zh-CN" w:bidi="ar-SA"/>
              </w:rPr>
              <w:t>在原料药发展的布局上，公司一直遵行绿色、低碳的发展理念。</w:t>
            </w:r>
            <w:r>
              <w:rPr>
                <w:rStyle w:val="8"/>
                <w:rFonts w:hint="eastAsia" w:ascii="宋体" w:hAnsi="宋体" w:eastAsia="宋体" w:cs="Times New Roman"/>
                <w:b w:val="0"/>
                <w:bCs/>
                <w:color w:val="auto"/>
                <w:kern w:val="2"/>
                <w:sz w:val="24"/>
                <w:szCs w:val="22"/>
                <w:lang w:val="en-US" w:eastAsia="zh-CN" w:bidi="ar-SA"/>
              </w:rPr>
              <w:t>甾体激素原</w:t>
            </w:r>
            <w:r>
              <w:rPr>
                <w:rStyle w:val="8"/>
                <w:rFonts w:hint="eastAsia" w:ascii="宋体" w:hAnsi="宋体"/>
                <w:b w:val="0"/>
                <w:bCs/>
                <w:color w:val="auto"/>
                <w:sz w:val="24"/>
                <w:szCs w:val="22"/>
                <w:lang w:val="en-US" w:eastAsia="zh-CN"/>
              </w:rPr>
              <w:t>料药具有高致敏性，对制造工艺、生产环境要求高；工艺过程复杂，兼具发酵和合成工艺。</w:t>
            </w:r>
          </w:p>
          <w:p>
            <w:pPr>
              <w:pStyle w:val="18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right="0" w:firstLine="480"/>
              <w:jc w:val="both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8"/>
                <w:rFonts w:hint="eastAsia" w:ascii="宋体" w:hAnsi="宋体"/>
                <w:b w:val="0"/>
                <w:bCs/>
                <w:color w:val="auto"/>
                <w:sz w:val="24"/>
                <w:szCs w:val="22"/>
                <w:lang w:val="en-US" w:eastAsia="zh-CN"/>
              </w:rPr>
              <w:t>公司高度重视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以技术工艺迭代为基础的提质量扩容，已经专门组建原料药研究团队，优化一批、开发一批。</w:t>
            </w:r>
          </w:p>
          <w:p>
            <w:pPr>
              <w:pStyle w:val="18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right="0" w:firstLine="480"/>
              <w:jc w:val="both"/>
              <w:rPr>
                <w:rStyle w:val="8"/>
                <w:rFonts w:hint="eastAsia" w:ascii="宋体" w:hAnsi="宋体" w:eastAsia="宋体"/>
                <w:b w:val="0"/>
                <w:bCs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目前已尝试开展具有甾体特色的原料药定制业务。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482" w:firstLineChars="200"/>
              <w:jc w:val="left"/>
              <w:rPr>
                <w:rFonts w:hint="eastAsia" w:asciiTheme="majorEastAsia" w:hAnsiTheme="majorEastAsia" w:eastAsiaTheme="majorEastAsia" w:cstheme="majorEastAsia"/>
                <w:b/>
                <w:i w:val="0"/>
                <w:iCs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line="480" w:lineRule="atLeast"/>
              <w:ind w:firstLine="482" w:firstLineChars="200"/>
              <w:rPr>
                <w:rStyle w:val="8"/>
                <w:rFonts w:ascii="宋体" w:hAnsi="宋体"/>
                <w:b/>
                <w:bCs/>
                <w:i w:val="0"/>
                <w:iCs/>
                <w:sz w:val="24"/>
                <w:szCs w:val="22"/>
              </w:rPr>
            </w:pPr>
            <w:r>
              <w:rPr>
                <w:rStyle w:val="8"/>
                <w:rFonts w:hint="eastAsia" w:ascii="宋体" w:hAnsi="宋体"/>
                <w:b/>
                <w:bCs/>
                <w:i w:val="0"/>
                <w:iCs/>
                <w:sz w:val="24"/>
                <w:szCs w:val="22"/>
                <w:lang w:val="en-US" w:eastAsia="zh-CN"/>
              </w:rPr>
              <w:t>6</w:t>
            </w:r>
            <w:r>
              <w:rPr>
                <w:rStyle w:val="8"/>
                <w:rFonts w:hint="eastAsia" w:ascii="宋体" w:hAnsi="宋体"/>
                <w:b/>
                <w:bCs/>
                <w:i w:val="0"/>
                <w:iCs/>
                <w:sz w:val="24"/>
                <w:szCs w:val="22"/>
              </w:rPr>
              <w:t>、集采对公司未来发展有多大的影响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jc w:val="left"/>
              <w:rPr>
                <w:rFonts w:hint="eastAsia" w:ascii="宋体" w:hAnsi="宋体" w:cs="宋体"/>
                <w:i w:val="0"/>
                <w:iCs/>
                <w:sz w:val="24"/>
                <w:lang w:val="zh-CN"/>
              </w:rPr>
            </w:pPr>
            <w:r>
              <w:rPr>
                <w:rFonts w:hint="eastAsia" w:ascii="宋体" w:hAnsi="宋体" w:cs="宋体"/>
                <w:i w:val="0"/>
                <w:iCs/>
                <w:sz w:val="24"/>
                <w:lang w:val="zh-CN"/>
              </w:rPr>
              <w:t>公司的产品若纳入集采，主要是麻醉肌松制剂产品的收入端可能会有影响。顺阿曲库铵集采影响从二季度已经开始体现。盐酸罗哌卡因注射液入围第</w:t>
            </w:r>
            <w:r>
              <w:rPr>
                <w:rFonts w:hint="eastAsia" w:ascii="宋体" w:hAnsi="宋体" w:cs="宋体"/>
                <w:i w:val="0"/>
                <w:iCs/>
                <w:sz w:val="24"/>
              </w:rPr>
              <w:t>5批国家集采</w:t>
            </w:r>
            <w:r>
              <w:rPr>
                <w:rFonts w:hint="eastAsia" w:ascii="宋体" w:hAnsi="宋体" w:cs="宋体"/>
                <w:i w:val="0"/>
                <w:iCs/>
                <w:sz w:val="24"/>
                <w:lang w:val="zh-CN"/>
              </w:rPr>
              <w:t>后销量的迅速提升。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jc w:val="left"/>
              <w:rPr>
                <w:rFonts w:ascii="宋体" w:hAnsi="宋体" w:cs="宋体"/>
                <w:i w:val="0"/>
                <w:iCs/>
                <w:sz w:val="24"/>
                <w:lang w:val="zh-CN"/>
              </w:rPr>
            </w:pPr>
            <w:r>
              <w:rPr>
                <w:rFonts w:hint="eastAsia" w:ascii="宋体" w:hAnsi="宋体" w:cs="宋体"/>
                <w:i w:val="0"/>
                <w:iCs/>
                <w:sz w:val="24"/>
                <w:lang w:val="zh-CN"/>
              </w:rPr>
              <w:t>基于公司的产品具有多品类、小品种的竞争特点，而且有原料药与制剂一体化的优势，集采影响相对中性。公司将努力加快产品开发，丰富产品梯队，持续增强公司竞争力。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jc w:val="left"/>
              <w:rPr>
                <w:rFonts w:asciiTheme="majorEastAsia" w:hAnsiTheme="majorEastAsia" w:eastAsiaTheme="majorEastAsia" w:cstheme="majorEastAsia"/>
                <w:i w:val="0"/>
                <w:i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tLeast"/>
              <w:rPr>
                <w:rStyle w:val="8"/>
                <w:rFonts w:ascii="宋体" w:hAnsi="宋体"/>
                <w:b/>
                <w:bCs/>
                <w:i w:val="0"/>
                <w:iCs/>
                <w:sz w:val="24"/>
              </w:rPr>
            </w:pPr>
            <w:r>
              <w:rPr>
                <w:rStyle w:val="8"/>
                <w:rFonts w:ascii="宋体" w:hAnsi="宋体"/>
                <w:b/>
                <w:bCs/>
                <w:i w:val="0"/>
                <w:iCs/>
                <w:sz w:val="24"/>
              </w:rPr>
              <w:t>附件清单（如有）</w:t>
            </w:r>
          </w:p>
        </w:tc>
        <w:tc>
          <w:tcPr>
            <w:tcW w:w="6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80" w:lineRule="atLeast"/>
              <w:rPr>
                <w:rStyle w:val="8"/>
                <w:rFonts w:ascii="宋体" w:hAnsi="宋体"/>
                <w:bCs/>
                <w:i w:val="0"/>
                <w:iCs/>
                <w:sz w:val="24"/>
              </w:rPr>
            </w:pPr>
            <w:r>
              <w:rPr>
                <w:rStyle w:val="8"/>
                <w:rFonts w:ascii="宋体" w:hAnsi="宋体"/>
                <w:bCs/>
                <w:i w:val="0"/>
                <w:iCs/>
                <w:sz w:val="24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tLeast"/>
              <w:rPr>
                <w:rStyle w:val="8"/>
                <w:rFonts w:ascii="宋体" w:hAnsi="宋体"/>
                <w:b/>
                <w:bCs/>
                <w:i w:val="0"/>
                <w:iCs/>
                <w:sz w:val="24"/>
              </w:rPr>
            </w:pPr>
            <w:r>
              <w:rPr>
                <w:rStyle w:val="8"/>
                <w:rFonts w:ascii="宋体" w:hAnsi="宋体"/>
                <w:b/>
                <w:bCs/>
                <w:i w:val="0"/>
                <w:iCs/>
                <w:sz w:val="24"/>
              </w:rPr>
              <w:t>日期</w:t>
            </w:r>
          </w:p>
        </w:tc>
        <w:tc>
          <w:tcPr>
            <w:tcW w:w="6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80" w:lineRule="atLeast"/>
              <w:rPr>
                <w:rStyle w:val="8"/>
                <w:rFonts w:ascii="宋体" w:hAnsi="宋体"/>
                <w:bCs/>
                <w:i w:val="0"/>
                <w:iCs/>
                <w:sz w:val="24"/>
              </w:rPr>
            </w:pPr>
            <w:r>
              <w:rPr>
                <w:rStyle w:val="8"/>
                <w:rFonts w:ascii="宋体" w:hAnsi="宋体"/>
                <w:bCs/>
                <w:i w:val="0"/>
                <w:iCs/>
                <w:sz w:val="24"/>
              </w:rPr>
              <w:t>20</w:t>
            </w:r>
            <w:r>
              <w:rPr>
                <w:rStyle w:val="8"/>
                <w:rFonts w:hint="eastAsia" w:ascii="宋体" w:hAnsi="宋体"/>
                <w:bCs/>
                <w:i w:val="0"/>
                <w:iCs/>
                <w:sz w:val="24"/>
              </w:rPr>
              <w:t>21</w:t>
            </w:r>
            <w:r>
              <w:rPr>
                <w:rStyle w:val="8"/>
                <w:rFonts w:ascii="宋体" w:hAnsi="宋体"/>
                <w:bCs/>
                <w:i w:val="0"/>
                <w:iCs/>
                <w:sz w:val="24"/>
              </w:rPr>
              <w:t>年</w:t>
            </w:r>
            <w:r>
              <w:rPr>
                <w:rStyle w:val="8"/>
                <w:rFonts w:hint="eastAsia" w:ascii="宋体" w:hAnsi="宋体"/>
                <w:bCs/>
                <w:i w:val="0"/>
                <w:iCs/>
                <w:sz w:val="24"/>
              </w:rPr>
              <w:t>1</w:t>
            </w:r>
            <w:r>
              <w:rPr>
                <w:rStyle w:val="8"/>
                <w:rFonts w:hint="eastAsia" w:ascii="宋体" w:hAnsi="宋体"/>
                <w:bCs/>
                <w:i w:val="0"/>
                <w:iCs/>
                <w:sz w:val="24"/>
                <w:lang w:val="en-US" w:eastAsia="zh-CN"/>
              </w:rPr>
              <w:t>1</w:t>
            </w:r>
            <w:r>
              <w:rPr>
                <w:rStyle w:val="8"/>
                <w:rFonts w:ascii="宋体" w:hAnsi="宋体"/>
                <w:bCs/>
                <w:i w:val="0"/>
                <w:iCs/>
                <w:sz w:val="24"/>
              </w:rPr>
              <w:t>月</w:t>
            </w:r>
            <w:r>
              <w:rPr>
                <w:rStyle w:val="8"/>
                <w:rFonts w:hint="eastAsia" w:ascii="宋体" w:hAnsi="宋体"/>
                <w:bCs/>
                <w:i w:val="0"/>
                <w:iCs/>
                <w:sz w:val="24"/>
                <w:lang w:val="en-US" w:eastAsia="zh-CN"/>
              </w:rPr>
              <w:t>10</w:t>
            </w:r>
            <w:r>
              <w:rPr>
                <w:rStyle w:val="8"/>
                <w:rFonts w:ascii="宋体" w:hAnsi="宋体"/>
                <w:bCs/>
                <w:i w:val="0"/>
                <w:iCs/>
                <w:sz w:val="24"/>
              </w:rPr>
              <w:t>日</w:t>
            </w:r>
          </w:p>
        </w:tc>
      </w:tr>
    </w:tbl>
    <w:p>
      <w:pPr>
        <w:spacing w:line="360" w:lineRule="auto"/>
        <w:jc w:val="left"/>
        <w:rPr>
          <w:rStyle w:val="8"/>
          <w:rFonts w:ascii="宋体" w:hAnsi="宋体"/>
          <w:sz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11E"/>
    <w:rsid w:val="00005FA7"/>
    <w:rsid w:val="00057AE4"/>
    <w:rsid w:val="00081D3D"/>
    <w:rsid w:val="000C486D"/>
    <w:rsid w:val="000C4F35"/>
    <w:rsid w:val="000D1F10"/>
    <w:rsid w:val="00103205"/>
    <w:rsid w:val="00110DE8"/>
    <w:rsid w:val="0015093F"/>
    <w:rsid w:val="001E1145"/>
    <w:rsid w:val="001F191E"/>
    <w:rsid w:val="00201345"/>
    <w:rsid w:val="0022211E"/>
    <w:rsid w:val="00222F19"/>
    <w:rsid w:val="00332E5E"/>
    <w:rsid w:val="00371570"/>
    <w:rsid w:val="00387786"/>
    <w:rsid w:val="003B1596"/>
    <w:rsid w:val="004678F9"/>
    <w:rsid w:val="00487A49"/>
    <w:rsid w:val="004F00E5"/>
    <w:rsid w:val="00500DAB"/>
    <w:rsid w:val="00525F7E"/>
    <w:rsid w:val="0058307A"/>
    <w:rsid w:val="005B166D"/>
    <w:rsid w:val="005B4EF6"/>
    <w:rsid w:val="00606D48"/>
    <w:rsid w:val="00622F44"/>
    <w:rsid w:val="0068122E"/>
    <w:rsid w:val="006B5E98"/>
    <w:rsid w:val="006C6D15"/>
    <w:rsid w:val="006D7679"/>
    <w:rsid w:val="00744422"/>
    <w:rsid w:val="0076775C"/>
    <w:rsid w:val="007C652A"/>
    <w:rsid w:val="007D35F5"/>
    <w:rsid w:val="007D4175"/>
    <w:rsid w:val="007D4FE4"/>
    <w:rsid w:val="007E581E"/>
    <w:rsid w:val="00814FD3"/>
    <w:rsid w:val="0081520B"/>
    <w:rsid w:val="008660D4"/>
    <w:rsid w:val="00874952"/>
    <w:rsid w:val="009152F2"/>
    <w:rsid w:val="00937AF5"/>
    <w:rsid w:val="009B2524"/>
    <w:rsid w:val="009D6D09"/>
    <w:rsid w:val="00A128E7"/>
    <w:rsid w:val="00A36A03"/>
    <w:rsid w:val="00A41C80"/>
    <w:rsid w:val="00A5307E"/>
    <w:rsid w:val="00A82882"/>
    <w:rsid w:val="00A83BAF"/>
    <w:rsid w:val="00AD38E6"/>
    <w:rsid w:val="00B11987"/>
    <w:rsid w:val="00B408F7"/>
    <w:rsid w:val="00B94424"/>
    <w:rsid w:val="00C02AD6"/>
    <w:rsid w:val="00C05E07"/>
    <w:rsid w:val="00C627DB"/>
    <w:rsid w:val="00C65DF6"/>
    <w:rsid w:val="00C768A8"/>
    <w:rsid w:val="00C80D76"/>
    <w:rsid w:val="00D07E0E"/>
    <w:rsid w:val="00D25AA4"/>
    <w:rsid w:val="00D738BE"/>
    <w:rsid w:val="00DA300A"/>
    <w:rsid w:val="00DA5084"/>
    <w:rsid w:val="00DC3EE9"/>
    <w:rsid w:val="00DE7351"/>
    <w:rsid w:val="00DF39A2"/>
    <w:rsid w:val="00E064AD"/>
    <w:rsid w:val="00E3536B"/>
    <w:rsid w:val="00E5244D"/>
    <w:rsid w:val="00E55D97"/>
    <w:rsid w:val="00E855D0"/>
    <w:rsid w:val="00E93FF4"/>
    <w:rsid w:val="00EA0645"/>
    <w:rsid w:val="00EA647D"/>
    <w:rsid w:val="00EB0518"/>
    <w:rsid w:val="00EB5DDB"/>
    <w:rsid w:val="00EE25F4"/>
    <w:rsid w:val="00EF46B3"/>
    <w:rsid w:val="00EF60D6"/>
    <w:rsid w:val="00EF70D7"/>
    <w:rsid w:val="00F45868"/>
    <w:rsid w:val="00F769E6"/>
    <w:rsid w:val="00F9280D"/>
    <w:rsid w:val="00F93DC3"/>
    <w:rsid w:val="00FA1297"/>
    <w:rsid w:val="018A2030"/>
    <w:rsid w:val="01F73F85"/>
    <w:rsid w:val="04DB2A85"/>
    <w:rsid w:val="05A476DD"/>
    <w:rsid w:val="05A8673E"/>
    <w:rsid w:val="05FF6A84"/>
    <w:rsid w:val="07E21993"/>
    <w:rsid w:val="09ED7BC3"/>
    <w:rsid w:val="0A513EF4"/>
    <w:rsid w:val="0BBB7134"/>
    <w:rsid w:val="0D1A21BD"/>
    <w:rsid w:val="0F5F4A3E"/>
    <w:rsid w:val="1073569C"/>
    <w:rsid w:val="1078223A"/>
    <w:rsid w:val="115B5732"/>
    <w:rsid w:val="120E58A2"/>
    <w:rsid w:val="134A22E1"/>
    <w:rsid w:val="14E92568"/>
    <w:rsid w:val="14EA0F69"/>
    <w:rsid w:val="15232298"/>
    <w:rsid w:val="16376096"/>
    <w:rsid w:val="16D9538A"/>
    <w:rsid w:val="175F7544"/>
    <w:rsid w:val="1A4673B5"/>
    <w:rsid w:val="1B5319E3"/>
    <w:rsid w:val="1BC6055E"/>
    <w:rsid w:val="1BFE60B2"/>
    <w:rsid w:val="1C6B6A39"/>
    <w:rsid w:val="1CBD00E8"/>
    <w:rsid w:val="1FE16E93"/>
    <w:rsid w:val="1FF50555"/>
    <w:rsid w:val="21143FEB"/>
    <w:rsid w:val="21C244F9"/>
    <w:rsid w:val="220D3ED8"/>
    <w:rsid w:val="22C9024F"/>
    <w:rsid w:val="23AB07F1"/>
    <w:rsid w:val="24971EEC"/>
    <w:rsid w:val="25733901"/>
    <w:rsid w:val="25DC4DB0"/>
    <w:rsid w:val="26F977A3"/>
    <w:rsid w:val="27DC13F0"/>
    <w:rsid w:val="27FE2942"/>
    <w:rsid w:val="2991528F"/>
    <w:rsid w:val="2AA62E99"/>
    <w:rsid w:val="2B83699C"/>
    <w:rsid w:val="2B934C8C"/>
    <w:rsid w:val="2DD91531"/>
    <w:rsid w:val="2E6E03AE"/>
    <w:rsid w:val="2F1B113A"/>
    <w:rsid w:val="31AE41C3"/>
    <w:rsid w:val="32B37A41"/>
    <w:rsid w:val="334B3268"/>
    <w:rsid w:val="33EE0B12"/>
    <w:rsid w:val="34742D29"/>
    <w:rsid w:val="354D4669"/>
    <w:rsid w:val="35650F9F"/>
    <w:rsid w:val="358A36EA"/>
    <w:rsid w:val="35FF02DB"/>
    <w:rsid w:val="38001ED1"/>
    <w:rsid w:val="38D048E6"/>
    <w:rsid w:val="43037788"/>
    <w:rsid w:val="43FD313F"/>
    <w:rsid w:val="44973F8C"/>
    <w:rsid w:val="454B7AF0"/>
    <w:rsid w:val="461155D5"/>
    <w:rsid w:val="464F535A"/>
    <w:rsid w:val="465A4338"/>
    <w:rsid w:val="46B50B3D"/>
    <w:rsid w:val="472E2DC8"/>
    <w:rsid w:val="4A8E0001"/>
    <w:rsid w:val="4AC44538"/>
    <w:rsid w:val="4BC739A7"/>
    <w:rsid w:val="4DF447B7"/>
    <w:rsid w:val="4E0825A9"/>
    <w:rsid w:val="4EC76EE5"/>
    <w:rsid w:val="4EE26B11"/>
    <w:rsid w:val="4F1B338E"/>
    <w:rsid w:val="4FAD233A"/>
    <w:rsid w:val="500D1522"/>
    <w:rsid w:val="505C6F75"/>
    <w:rsid w:val="53691744"/>
    <w:rsid w:val="53CC3AF9"/>
    <w:rsid w:val="54185D67"/>
    <w:rsid w:val="551F7F2D"/>
    <w:rsid w:val="552E363A"/>
    <w:rsid w:val="55DC7495"/>
    <w:rsid w:val="56B70D0D"/>
    <w:rsid w:val="5720374A"/>
    <w:rsid w:val="573A5BEC"/>
    <w:rsid w:val="5C0D5CD2"/>
    <w:rsid w:val="5D8B23DE"/>
    <w:rsid w:val="5E055718"/>
    <w:rsid w:val="5EA70E76"/>
    <w:rsid w:val="5FB21F35"/>
    <w:rsid w:val="5FC24F96"/>
    <w:rsid w:val="60477A6E"/>
    <w:rsid w:val="615E4BA8"/>
    <w:rsid w:val="619F2A32"/>
    <w:rsid w:val="63ED600F"/>
    <w:rsid w:val="6411743B"/>
    <w:rsid w:val="66494163"/>
    <w:rsid w:val="665A551B"/>
    <w:rsid w:val="67F3564E"/>
    <w:rsid w:val="684A2231"/>
    <w:rsid w:val="685C00D3"/>
    <w:rsid w:val="692A50A2"/>
    <w:rsid w:val="6998146D"/>
    <w:rsid w:val="69A9300B"/>
    <w:rsid w:val="6AA73689"/>
    <w:rsid w:val="6B65610A"/>
    <w:rsid w:val="6B984824"/>
    <w:rsid w:val="6C5307DE"/>
    <w:rsid w:val="6EB802B4"/>
    <w:rsid w:val="6ECB32CB"/>
    <w:rsid w:val="6F361182"/>
    <w:rsid w:val="6F8C5CC7"/>
    <w:rsid w:val="6F99080B"/>
    <w:rsid w:val="719C7EA4"/>
    <w:rsid w:val="73F30AFC"/>
    <w:rsid w:val="748F3354"/>
    <w:rsid w:val="7496112B"/>
    <w:rsid w:val="74D85E71"/>
    <w:rsid w:val="75CA51FB"/>
    <w:rsid w:val="7AB65469"/>
    <w:rsid w:val="7C343849"/>
    <w:rsid w:val="7D022120"/>
    <w:rsid w:val="7D8D6925"/>
    <w:rsid w:val="7E2405CB"/>
    <w:rsid w:val="7E4001EC"/>
    <w:rsid w:val="7F6E12D8"/>
    <w:rsid w:val="7F8E0BE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NormalCharacter"/>
    <w:qFormat/>
    <w:uiPriority w:val="0"/>
  </w:style>
  <w:style w:type="table" w:customStyle="1" w:styleId="9">
    <w:name w:val="Table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UserStyle_0"/>
    <w:link w:val="11"/>
    <w:qFormat/>
    <w:uiPriority w:val="0"/>
    <w:rPr>
      <w:kern w:val="2"/>
      <w:sz w:val="18"/>
      <w:szCs w:val="18"/>
    </w:rPr>
  </w:style>
  <w:style w:type="paragraph" w:customStyle="1" w:styleId="11">
    <w:name w:val="页眉1"/>
    <w:basedOn w:val="1"/>
    <w:link w:val="10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2">
    <w:name w:val="UserStyle_1"/>
    <w:link w:val="13"/>
    <w:qFormat/>
    <w:uiPriority w:val="0"/>
    <w:rPr>
      <w:kern w:val="2"/>
      <w:sz w:val="18"/>
      <w:szCs w:val="18"/>
    </w:rPr>
  </w:style>
  <w:style w:type="paragraph" w:customStyle="1" w:styleId="13">
    <w:name w:val="页脚1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4">
    <w:name w:val="Acetate"/>
    <w:basedOn w:val="1"/>
    <w:qFormat/>
    <w:uiPriority w:val="0"/>
    <w:rPr>
      <w:sz w:val="18"/>
      <w:szCs w:val="18"/>
    </w:rPr>
  </w:style>
  <w:style w:type="character" w:customStyle="1" w:styleId="15">
    <w:name w:val="页眉 Char"/>
    <w:basedOn w:val="6"/>
    <w:link w:val="3"/>
    <w:semiHidden/>
    <w:qFormat/>
    <w:uiPriority w:val="99"/>
    <w:rPr>
      <w:kern w:val="2"/>
      <w:sz w:val="18"/>
      <w:szCs w:val="18"/>
    </w:rPr>
  </w:style>
  <w:style w:type="character" w:customStyle="1" w:styleId="16">
    <w:name w:val="页脚 Char"/>
    <w:basedOn w:val="6"/>
    <w:link w:val="2"/>
    <w:semiHidden/>
    <w:qFormat/>
    <w:uiPriority w:val="99"/>
    <w:rPr>
      <w:kern w:val="2"/>
      <w:sz w:val="18"/>
      <w:szCs w:val="18"/>
    </w:rPr>
  </w:style>
  <w:style w:type="paragraph" w:styleId="17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383</Words>
  <Characters>2187</Characters>
  <Lines>18</Lines>
  <Paragraphs>5</Paragraphs>
  <TotalTime>1</TotalTime>
  <ScaleCrop>false</ScaleCrop>
  <LinksUpToDate>false</LinksUpToDate>
  <CharactersWithSpaces>2565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2019-10-30T07:33:00Z</dcterms:created>
  <dc:creator>XJ-CJ3-21</dc:creator>
  <cp:lastModifiedBy>九日</cp:lastModifiedBy>
  <cp:lastPrinted>2021-10-28T05:02:00Z</cp:lastPrinted>
  <dcterms:modified xsi:type="dcterms:W3CDTF">2021-11-11T09:37:30Z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24496970DAE74E0B9274606ABA6ED9E1</vt:lpwstr>
  </property>
</Properties>
</file>