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56" w:after="156" w:lineRule="exact" w:line="400"/>
        <w:ind w:firstLine="720" w:firstLineChars="300"/>
        <w:rPr>
          <w:rStyle w:val="style4097"/>
          <w:rFonts w:ascii="宋体" w:hAnsi="宋体"/>
          <w:bCs/>
          <w:iCs/>
          <w:color w:val="000000"/>
          <w:sz w:val="24"/>
        </w:rPr>
      </w:pPr>
      <w:r>
        <w:rPr>
          <w:rStyle w:val="style4097"/>
          <w:rFonts w:ascii="宋体" w:hAnsi="宋体"/>
          <w:bCs/>
          <w:iCs/>
          <w:color w:val="000000"/>
          <w:sz w:val="24"/>
        </w:rPr>
        <w:t>证券代码：002332                  证券简称：仙</w:t>
      </w:r>
      <w:r>
        <w:rPr>
          <w:rStyle w:val="style4097"/>
          <w:rFonts w:ascii="宋体" w:hAnsi="宋体"/>
          <w:bCs/>
          <w:iCs/>
          <w:color w:val="000000"/>
          <w:sz w:val="24"/>
        </w:rPr>
        <w:t>琚</w:t>
      </w:r>
      <w:r>
        <w:rPr>
          <w:rStyle w:val="style4097"/>
          <w:rFonts w:ascii="宋体" w:hAnsi="宋体"/>
          <w:bCs/>
          <w:iCs/>
          <w:color w:val="000000"/>
          <w:sz w:val="24"/>
        </w:rPr>
        <w:t>制药</w:t>
      </w:r>
    </w:p>
    <w:p>
      <w:pPr>
        <w:pStyle w:val="style0"/>
        <w:spacing w:before="156" w:after="156" w:lineRule="exact" w:line="400"/>
        <w:ind w:firstLine="720" w:firstLineChars="300"/>
        <w:rPr>
          <w:rStyle w:val="style4097"/>
          <w:rFonts w:ascii="宋体" w:hAnsi="宋体"/>
          <w:bCs/>
          <w:iCs/>
          <w:color w:val="000000"/>
          <w:sz w:val="24"/>
        </w:rPr>
      </w:pPr>
    </w:p>
    <w:p>
      <w:pPr>
        <w:pStyle w:val="style0"/>
        <w:spacing w:before="156" w:after="156" w:lineRule="exact" w:line="400"/>
        <w:jc w:val="center"/>
        <w:rPr>
          <w:rStyle w:val="style4097"/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Style w:val="style4097"/>
          <w:rFonts w:ascii="宋体" w:hAnsi="宋体"/>
          <w:b/>
          <w:bCs/>
          <w:iCs/>
          <w:color w:val="000000"/>
          <w:sz w:val="32"/>
          <w:szCs w:val="32"/>
        </w:rPr>
        <w:t>浙江仙琚制药股份有限公司投资者关系活动记录表</w:t>
      </w:r>
    </w:p>
    <w:p>
      <w:pPr>
        <w:pStyle w:val="style0"/>
        <w:spacing w:lineRule="exact" w:line="400"/>
        <w:rPr>
          <w:rStyle w:val="style4097"/>
          <w:rFonts w:ascii="宋体" w:hAnsi="宋体"/>
          <w:bCs/>
          <w:iCs/>
          <w:color w:val="ff0000"/>
          <w:sz w:val="24"/>
        </w:rPr>
      </w:pPr>
      <w:r>
        <w:rPr>
          <w:rStyle w:val="style4097"/>
          <w:rFonts w:ascii="宋体" w:hAnsi="宋体"/>
          <w:bCs/>
          <w:iCs/>
          <w:color w:val="000000"/>
          <w:sz w:val="24"/>
        </w:rPr>
        <w:t xml:space="preserve">                                                      编号：20</w:t>
      </w:r>
      <w:r>
        <w:rPr>
          <w:rStyle w:val="style4097"/>
          <w:rFonts w:ascii="宋体" w:hAnsi="宋体" w:hint="eastAsia"/>
          <w:bCs/>
          <w:iCs/>
          <w:color w:val="000000"/>
          <w:sz w:val="24"/>
        </w:rPr>
        <w:t>21</w:t>
      </w:r>
      <w:r>
        <w:rPr>
          <w:rStyle w:val="style4097"/>
          <w:rFonts w:ascii="宋体" w:hAnsi="宋体"/>
          <w:bCs/>
          <w:iCs/>
          <w:color w:val="000000"/>
          <w:sz w:val="24"/>
        </w:rPr>
        <w:t>-0</w:t>
      </w:r>
      <w:r>
        <w:rPr>
          <w:rStyle w:val="style4097"/>
          <w:rFonts w:ascii="宋体" w:hAnsi="宋体" w:hint="eastAsia"/>
          <w:bCs/>
          <w:iCs/>
          <w:color w:val="000000"/>
          <w:sz w:val="24"/>
        </w:rPr>
        <w:t>11</w:t>
      </w:r>
    </w:p>
    <w:tbl>
      <w:tblPr>
        <w:tblW w:w="80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6261"/>
      </w:tblGrid>
      <w:tr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  <w:t>投资者关系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  <w:t>活动类别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sym w:font="Wingdings 2" w:char="52"/>
            </w:r>
            <w:r>
              <w:rPr>
                <w:rStyle w:val="style4097"/>
                <w:rFonts w:ascii="宋体" w:hAnsi="宋体"/>
                <w:iCs/>
                <w:sz w:val="24"/>
              </w:rPr>
              <w:t xml:space="preserve">特定对象调研      </w:t>
            </w: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style4097"/>
                <w:rFonts w:ascii="宋体" w:hAnsi="宋体"/>
                <w:iCs/>
                <w:sz w:val="24"/>
              </w:rPr>
              <w:t>分析师会议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sym w:font="Wingdings 2" w:char="a3"/>
            </w:r>
            <w:r>
              <w:rPr>
                <w:rStyle w:val="style4097"/>
                <w:rFonts w:ascii="宋体" w:hAnsi="宋体"/>
                <w:iCs/>
                <w:sz w:val="24"/>
              </w:rPr>
              <w:t xml:space="preserve">媒体采访           </w:t>
            </w: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style4097"/>
                <w:rFonts w:ascii="宋体" w:hAnsi="宋体"/>
                <w:iCs/>
                <w:sz w:val="24"/>
              </w:rPr>
              <w:t>业绩说明会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style4097"/>
                <w:rFonts w:ascii="宋体" w:hAnsi="宋体"/>
                <w:iCs/>
                <w:sz w:val="24"/>
              </w:rPr>
              <w:t xml:space="preserve">新闻发布会         </w:t>
            </w: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Style w:val="style4097"/>
                <w:rFonts w:ascii="宋体" w:hAnsi="宋体"/>
                <w:iCs/>
                <w:sz w:val="24"/>
              </w:rPr>
              <w:t>路演活动</w:t>
            </w:r>
          </w:p>
          <w:p>
            <w:pPr>
              <w:pStyle w:val="style0"/>
              <w:tabs>
                <w:tab w:val="center" w:leader="none" w:pos="3199"/>
              </w:tabs>
              <w:spacing w:lineRule="atLeast" w:line="480"/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sym w:font="Wingdings 2" w:char="a3"/>
            </w:r>
            <w:r>
              <w:rPr>
                <w:rStyle w:val="style4097"/>
                <w:rFonts w:ascii="宋体" w:hAnsi="宋体"/>
                <w:iCs/>
                <w:sz w:val="24"/>
              </w:rPr>
              <w:t>现场参观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         </w:t>
            </w:r>
            <w:r>
              <w:rPr>
                <w:rStyle w:val="style4097"/>
                <w:rFonts w:ascii="宋体" w:hAnsi="宋体"/>
                <w:bCs/>
                <w:iCs/>
                <w:color w:val="000000"/>
                <w:sz w:val="24"/>
              </w:rPr>
              <w:sym w:font="Wingdings 2" w:char="52"/>
            </w:r>
            <w:r>
              <w:rPr>
                <w:rStyle w:val="style4097"/>
                <w:rFonts w:ascii="宋体" w:hAnsi="宋体"/>
                <w:iCs/>
                <w:sz w:val="24"/>
              </w:rPr>
              <w:t xml:space="preserve">其他 </w:t>
            </w:r>
            <w:r>
              <w:rPr>
                <w:rStyle w:val="style4097"/>
                <w:rFonts w:ascii="宋体" w:hAnsi="宋体"/>
                <w:iCs/>
                <w:sz w:val="24"/>
                <w:szCs w:val="22"/>
              </w:rPr>
              <w:t>电话会议</w:t>
            </w:r>
          </w:p>
        </w:tc>
      </w:tr>
      <w:tr>
        <w:tblPrEx/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国泰君安  中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信资本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招商证券  环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懿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资本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国金医药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翊安资产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民加投资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泰康保险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朴道资本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光大自营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重阳投资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景林资产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睿郡资本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华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宝基金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朴易资本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域秀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西部自营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紫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阁投资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南方基金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杭州汇升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高信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百诺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鼎锋资本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大成资本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华泰保兴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招银理财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礼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正资本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益尚投资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国投瑞银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 w:hint="eastAsia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中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泰资管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牧毅资产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三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登投资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>中再资产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/>
                <w:iCs/>
                <w:sz w:val="24"/>
              </w:rPr>
            </w:pPr>
            <w:r>
              <w:rPr>
                <w:rStyle w:val="style4097"/>
                <w:rFonts w:ascii="宋体" w:hAnsi="宋体" w:hint="eastAsia"/>
                <w:iCs/>
                <w:sz w:val="24"/>
              </w:rPr>
              <w:t>人保养老</w:t>
            </w:r>
            <w:r>
              <w:rPr>
                <w:rStyle w:val="style4097"/>
                <w:rFonts w:ascii="宋体" w:hAnsi="宋体" w:hint="eastAsia"/>
                <w:iCs/>
                <w:sz w:val="24"/>
              </w:rPr>
              <w:t xml:space="preserve">  </w:t>
            </w:r>
            <w:r>
              <w:rPr>
                <w:rStyle w:val="style4097"/>
                <w:rFonts w:ascii="宋体" w:hAnsi="宋体"/>
                <w:iCs/>
                <w:sz w:val="24"/>
              </w:rPr>
              <w:t>Willing Capital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iCs/>
                <w:sz w:val="24"/>
              </w:rPr>
            </w:pPr>
          </w:p>
        </w:tc>
      </w:tr>
      <w:tr>
        <w:tblPrEx/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时间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>20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21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年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12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月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1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日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下午13:30-15:00（现场会议）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>20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21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年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12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月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1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日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下午15:00-16:00（电话会议）</w:t>
            </w:r>
          </w:p>
        </w:tc>
      </w:tr>
      <w:tr>
        <w:tblPrEx/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地点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>浙江仙琚制药股份有限公司会议室</w:t>
            </w:r>
          </w:p>
        </w:tc>
      </w:tr>
      <w:tr>
        <w:tblPrEx/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>董事会秘书    张王伟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 xml:space="preserve">证券事务代表  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沈旭红</w:t>
            </w:r>
          </w:p>
        </w:tc>
      </w:tr>
      <w:tr>
        <w:tblPrEx/>
        <w:trPr>
          <w:trHeight w:val="23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投资者关系活动主要内容介绍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482" w:firstLineChars="200"/>
              <w:jc w:val="left"/>
              <w:rPr>
                <w:rFonts w:ascii="宋体" w:cs="宋体" w:hAnsi="宋体"/>
                <w:b/>
                <w:bCs/>
                <w:iCs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iCs/>
                <w:sz w:val="24"/>
              </w:rPr>
              <w:t>1、公司业绩基本面</w:t>
            </w:r>
          </w:p>
          <w:p>
            <w:pPr>
              <w:pStyle w:val="style0"/>
              <w:spacing w:lineRule="auto" w:line="360"/>
              <w:ind w:firstLine="480" w:firstLineChars="200"/>
              <w:jc w:val="left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公司近五年来</w:t>
            </w:r>
            <w:r>
              <w:rPr>
                <w:rStyle w:val="style4097"/>
                <w:rFonts w:ascii="宋体" w:hAnsi="宋体" w:hint="eastAsia"/>
                <w:kern w:val="0"/>
                <w:sz w:val="24"/>
              </w:rPr>
              <w:t>取得了较好的经营业绩，</w:t>
            </w:r>
            <w:r>
              <w:rPr>
                <w:rFonts w:ascii="宋体" w:cs="宋体" w:eastAsia="宋体" w:hAnsi="宋体" w:hint="eastAsia"/>
                <w:sz w:val="24"/>
              </w:rPr>
              <w:t>连续27个季度保持扎实稳定的增长，稳健业绩背后的底层逻辑是公司数十年时间积累的产业链优势，公司产品结构优、韧性强。</w:t>
            </w:r>
          </w:p>
          <w:p>
            <w:pPr>
              <w:pStyle w:val="style0"/>
              <w:spacing w:lineRule="auto" w:line="360"/>
              <w:ind w:firstLine="480" w:firstLineChars="200"/>
              <w:jc w:val="left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公司未来将持续聚焦</w:t>
            </w:r>
            <w:r>
              <w:rPr>
                <w:rFonts w:ascii="宋体" w:cs="宋体" w:eastAsia="宋体" w:hAnsi="宋体" w:hint="eastAsia"/>
                <w:sz w:val="24"/>
              </w:rPr>
              <w:t>甾</w:t>
            </w:r>
            <w:r>
              <w:rPr>
                <w:rFonts w:ascii="宋体" w:cs="宋体" w:eastAsia="宋体" w:hAnsi="宋体" w:hint="eastAsia"/>
                <w:sz w:val="24"/>
              </w:rPr>
              <w:t>体激素赛道，扎扎实实的在</w:t>
            </w:r>
            <w:r>
              <w:rPr>
                <w:rFonts w:ascii="宋体" w:cs="宋体" w:eastAsia="宋体" w:hAnsi="宋体" w:hint="eastAsia"/>
                <w:sz w:val="24"/>
              </w:rPr>
              <w:t>甾</w:t>
            </w:r>
            <w:r>
              <w:rPr>
                <w:rFonts w:ascii="宋体" w:cs="宋体" w:eastAsia="宋体" w:hAnsi="宋体" w:hint="eastAsia"/>
                <w:sz w:val="24"/>
              </w:rPr>
              <w:t>体</w:t>
            </w:r>
            <w:r>
              <w:rPr>
                <w:rFonts w:ascii="宋体" w:cs="宋体" w:eastAsia="宋体" w:hAnsi="宋体" w:hint="eastAsia"/>
                <w:sz w:val="24"/>
              </w:rPr>
              <w:t>激素这条长坡厚雪的赛道上深耕，不断地向前迈进。</w:t>
            </w:r>
          </w:p>
          <w:p>
            <w:pPr>
              <w:pStyle w:val="style0"/>
              <w:spacing w:lineRule="auto" w:line="360"/>
              <w:ind w:firstLine="482" w:firstLineChars="200"/>
              <w:jc w:val="left"/>
              <w:rPr>
                <w:rFonts w:ascii="宋体" w:cs="宋体" w:hAnsi="宋体"/>
                <w:b/>
                <w:bCs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b/>
                <w:bCs/>
                <w:iCs/>
                <w:sz w:val="24"/>
              </w:rPr>
              <w:t>2、</w:t>
            </w:r>
            <w:r>
              <w:rPr>
                <w:rFonts w:ascii="宋体" w:cs="宋体" w:hAnsi="宋体" w:hint="eastAsia"/>
                <w:b/>
                <w:bCs/>
                <w:iCs/>
                <w:sz w:val="24"/>
                <w:lang w:val="zh-CN"/>
              </w:rPr>
              <w:t>公司制剂业务的情况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呼吸科产品：今年依然保持了高增长。主要来自于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糠酸莫米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松鼻喷剂和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噻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托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溴铵粉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雾剂两个品种的增长。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麻醉肌松产品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：罗库溴铵注射液前三季度增长较快，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公司首家通过该产品的一致性评价，将来是否列入集采、什么时候列入集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采一直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是大家关心的问题，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目前仍有时间窗口做市场的覆盖和布局。麻醉类的盐酸罗哌卡因注射液，入围第</w:t>
            </w:r>
            <w:r>
              <w:rPr>
                <w:rFonts w:ascii="宋体" w:cs="宋体" w:hAnsi="宋体" w:hint="eastAsia"/>
                <w:iCs/>
                <w:sz w:val="24"/>
              </w:rPr>
              <w:t>5批国家集采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，从销售端的反馈来看，销量大幅提升。公司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麻醉肌松类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原料药集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采之前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为自用，集采后的此类原料药开始外售，有足够的增长潜力。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妇科产品：黄体酮胶囊是公司目前妇科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类主力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产品，但公司也做了该产品集采后的接力产品储备。黄体酮软胶囊研发顺利推进，黄体酮凝胶准备正式B</w:t>
            </w:r>
            <w:r>
              <w:rPr>
                <w:rFonts w:ascii="宋体" w:cs="宋体" w:hAnsi="宋体"/>
                <w:iCs/>
                <w:sz w:val="24"/>
                <w:lang w:val="zh-CN"/>
              </w:rPr>
              <w:t>E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。另外公司开展很多妇科小而美的产品的开发，比如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屈螺酮炔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䧳醇片、戊酸雌二醇片等。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皮肤科产品：主要通过OTC的渠道在做，主要产品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糠酸莫米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松乳膏、曲安奈德益康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唑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乳膏等，目前不受集采影响，近年保持一个较好的增长。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普药产品：普药是仙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琚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制药的利基，总体保持</w:t>
            </w:r>
            <w:r>
              <w:rPr>
                <w:rFonts w:ascii="宋体" w:cs="宋体" w:hAnsi="宋体" w:hint="eastAsia"/>
                <w:iCs/>
                <w:sz w:val="24"/>
              </w:rPr>
              <w:t>10%左右的增速。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普药价格低、量大，消耗原料药多，如果原料药价跌，普药制剂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端业绩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弹性体现；若原料药涨价，原料药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端业绩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将弹性体现。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宋体" w:cs="宋体" w:hAnsi="宋体" w:hint="eastAsia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 xml:space="preserve">     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结合公司在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研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产品的规划与发展，公司布局2020年非公开发行股票募集资金投资项目“高端制剂国际化建设项目”，争取做到研发生产线建设产品申报的紧密对接。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目前该项目两座配套厂房已结顶，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另两座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生产车间准备施工，相关生产线设备已开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始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订购。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2" w:firstLineChars="200"/>
              <w:jc w:val="left"/>
              <w:rPr>
                <w:rStyle w:val="style4097"/>
                <w:rFonts w:ascii="宋体" w:hAnsi="宋体"/>
                <w:b/>
                <w:bCs/>
                <w:iCs/>
                <w:sz w:val="24"/>
                <w:szCs w:val="22"/>
              </w:rPr>
            </w:pPr>
            <w:r>
              <w:rPr>
                <w:rStyle w:val="style4097"/>
                <w:rFonts w:ascii="宋体" w:hAnsi="宋体" w:hint="eastAsia"/>
                <w:b/>
                <w:bCs/>
                <w:iCs/>
                <w:sz w:val="24"/>
                <w:szCs w:val="22"/>
              </w:rPr>
              <w:t>3、集采对公司未来发展有多大的影响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公司的产品若纳入集采，主要是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麻醉肌松制剂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产品的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收入端会有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影响。顺阿曲库铵集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采影响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从二季度已经开始体现。公司顺阿曲库铵原料药从原先的单纯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自供开始转化为同时对外销售。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利润端相对可控。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盐酸罗哌卡因注射液入围第</w:t>
            </w:r>
            <w:r>
              <w:rPr>
                <w:rFonts w:ascii="宋体" w:cs="宋体" w:hAnsi="宋体" w:hint="eastAsia"/>
                <w:iCs/>
                <w:sz w:val="24"/>
              </w:rPr>
              <w:t>5批国家集采</w:t>
            </w:r>
            <w:r>
              <w:rPr>
                <w:rFonts w:ascii="宋体" w:cs="宋体" w:hAnsi="宋体" w:hint="eastAsia"/>
                <w:iCs/>
                <w:sz w:val="24"/>
              </w:rPr>
              <w:t>，对公司而言是一个很好的机会</w:t>
            </w:r>
            <w:r>
              <w:rPr>
                <w:rFonts w:ascii="宋体" w:cs="宋体" w:hAnsi="宋体" w:hint="eastAsia"/>
                <w:iCs/>
                <w:sz w:val="24"/>
              </w:rPr>
              <w:t>，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销量上体现出大幅提升。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米索前列醇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片应用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领域小而专，国内生产厂家主要有三家，进入集采也是这三家企业，生产厂家相对固定，用药稳定。</w:t>
            </w:r>
          </w:p>
          <w:p>
            <w:pPr>
              <w:pStyle w:val="style0"/>
              <w:spacing w:lineRule="auto" w:line="360"/>
              <w:ind w:firstLine="480" w:firstLineChars="200"/>
              <w:jc w:val="left"/>
              <w:rPr>
                <w:rFonts w:ascii="宋体" w:cs="宋体" w:hAnsi="宋体"/>
                <w:iCs/>
                <w:sz w:val="24"/>
                <w:lang w:val="zh-CN"/>
              </w:rPr>
            </w:pPr>
            <w:r>
              <w:rPr>
                <w:rFonts w:ascii="宋体" w:cs="宋体" w:hAnsi="宋体" w:hint="eastAsia"/>
                <w:iCs/>
                <w:sz w:val="24"/>
                <w:lang w:val="zh-CN"/>
              </w:rPr>
              <w:t>基于公司的产品具有多品类、小品种的竞争特点，而且有原料药与制剂一体化的优势，集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采影响</w:t>
            </w:r>
            <w:r>
              <w:rPr>
                <w:rFonts w:ascii="宋体" w:cs="宋体" w:hAnsi="宋体" w:hint="eastAsia"/>
                <w:iCs/>
                <w:sz w:val="24"/>
                <w:lang w:val="zh-CN"/>
              </w:rPr>
              <w:t>相对中性。公司将努力加快产品开发，丰富产品梯队，持续增强公司竞争力。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2" w:firstLineChars="200"/>
              <w:jc w:val="left"/>
              <w:rPr>
                <w:rFonts w:ascii="宋体" w:cs="宋体" w:hAnsi="宋体"/>
                <w:b/>
                <w:bCs/>
                <w:iCs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iCs/>
                <w:sz w:val="24"/>
              </w:rPr>
              <w:t>4、原料药厂区情况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hAnsi="宋体"/>
                <w:bCs/>
                <w:sz w:val="24"/>
                <w:szCs w:val="22"/>
              </w:rPr>
            </w:pP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公司是一家原料药和制剂一体化的医药企业，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原料药是公司的根基和优势之一，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在原料药发展的布局上，公司一直遵行绿色、低碳的发展理念。公司原料药业务已形成了临海川南厂区、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台州杨府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厂区和意大利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Newchem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 xml:space="preserve"> 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三大厂区协同发展的新局面。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杨府原料药</w:t>
            </w:r>
            <w:r>
              <w:rPr>
                <w:rFonts w:hint="eastAsia"/>
                <w:sz w:val="24"/>
              </w:rPr>
              <w:t>新厂区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城南厂区的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  <w:lang w:eastAsia="zh-CN"/>
              </w:rPr>
              <w:t>承接和升级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，</w:t>
            </w:r>
            <w:r>
              <w:rPr>
                <w:rFonts w:hint="eastAsia"/>
                <w:sz w:val="24"/>
              </w:rPr>
              <w:t>在设计时就考虑配套技术的提升，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新厂区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</w:rPr>
              <w:t>对生产的自动化程度、生产现场的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  <w:lang w:eastAsia="zh-CN"/>
              </w:rPr>
              <w:t>管道化、自动化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</w:rPr>
              <w:t>、人员配置等技术提出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</w:rPr>
              <w:t>更高的要求，</w:t>
            </w:r>
            <w:r>
              <w:rPr>
                <w:rFonts w:hint="eastAsia"/>
                <w:sz w:val="24"/>
              </w:rPr>
              <w:t>新设备的运用对生产物料投放的精准性、人员的安全性、生产的绿色低碳环保性都是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种质的提升。公司部份</w:t>
            </w:r>
            <w:r>
              <w:rPr>
                <w:rFonts w:hint="eastAsia"/>
                <w:sz w:val="24"/>
                <w:lang w:eastAsia="zh-CN"/>
              </w:rPr>
              <w:t>工序</w:t>
            </w:r>
            <w:r>
              <w:rPr>
                <w:rFonts w:hint="eastAsia"/>
                <w:sz w:val="24"/>
              </w:rPr>
              <w:t>在</w:t>
            </w:r>
            <w:r>
              <w:rPr>
                <w:rStyle w:val="style4097"/>
                <w:rFonts w:ascii="宋体" w:hAnsi="宋体"/>
                <w:bCs/>
                <w:sz w:val="24"/>
                <w:szCs w:val="22"/>
              </w:rPr>
              <w:t>酶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催化、连续流方面都有新的尝试与探索。</w:t>
            </w:r>
          </w:p>
          <w:p>
            <w:pPr>
              <w:pStyle w:val="style0"/>
              <w:spacing w:lineRule="auto" w:line="360"/>
              <w:ind w:firstLine="480"/>
              <w:jc w:val="left"/>
              <w:rPr>
                <w:rStyle w:val="style4097"/>
                <w:rFonts w:hAnsi="宋体"/>
                <w:bCs/>
                <w:kern w:val="0"/>
                <w:sz w:val="24"/>
                <w:szCs w:val="22"/>
              </w:rPr>
            </w:pP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临海川南厂区的台州仙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琚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目前也在多个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  <w:lang w:eastAsia="zh-CN"/>
              </w:rPr>
              <w:t>工序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上尝试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</w:rPr>
              <w:t>连续流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</w:rPr>
              <w:t>微反应</w:t>
            </w:r>
            <w:r>
              <w:rPr>
                <w:rStyle w:val="style4097"/>
                <w:rFonts w:ascii="宋体" w:hAnsi="宋体" w:hint="eastAsia"/>
                <w:bCs/>
                <w:kern w:val="0"/>
                <w:sz w:val="24"/>
                <w:szCs w:val="22"/>
              </w:rPr>
              <w:t>等先进技术开发与应用</w:t>
            </w:r>
            <w:r>
              <w:rPr>
                <w:rStyle w:val="style4097"/>
                <w:rFonts w:hAnsi="宋体" w:hint="eastAsia"/>
                <w:bCs/>
                <w:kern w:val="0"/>
                <w:sz w:val="24"/>
                <w:szCs w:val="22"/>
              </w:rPr>
              <w:t>。</w:t>
            </w:r>
          </w:p>
          <w:p>
            <w:pPr>
              <w:pStyle w:val="style0"/>
              <w:spacing w:lineRule="auto" w:line="360"/>
              <w:ind w:firstLine="480"/>
              <w:jc w:val="left"/>
              <w:rPr>
                <w:rStyle w:val="style4097"/>
                <w:rFonts w:ascii="Times New Roman" w:hAnsi="宋体"/>
                <w:bCs/>
                <w:sz w:val="24"/>
                <w:szCs w:val="22"/>
              </w:rPr>
            </w:pP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意大利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Newchem</w:t>
            </w:r>
            <w:r>
              <w:rPr>
                <w:rStyle w:val="style4097"/>
                <w:rFonts w:hAnsi="宋体" w:hint="eastAsia"/>
                <w:bCs/>
                <w:sz w:val="24"/>
                <w:szCs w:val="22"/>
              </w:rPr>
              <w:t>公司拥有两个厂区，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Newchem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公司有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62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个产品，其中皮质类固醇产品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38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个，激素类产品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8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个，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前列腺素产品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7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个，其他激素衍生物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9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个；目前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24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个产品具备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DMF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或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CEP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文号，在美国、欧盟和日本等规范市场获得准入，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Newchem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的皮质类固醇类产品丙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酸氟替卡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松、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糠酸氟替卡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松、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氟米松</w:t>
            </w:r>
            <w:r>
              <w:rPr>
                <w:rStyle w:val="style4097"/>
                <w:rFonts w:ascii="Times New Roman" w:hAnsi="宋体" w:hint="eastAsia"/>
                <w:bCs/>
                <w:sz w:val="24"/>
                <w:szCs w:val="22"/>
              </w:rPr>
              <w:t>新戊酸酯、甲基泼尼松龙琥珀酸钠等是公司原料药产品的下游高端衍生物，很多特色品种近两年有效拓展了增量市场，所有产品对接国际高端市场。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2" w:firstLineChars="200"/>
              <w:jc w:val="left"/>
              <w:rPr>
                <w:rFonts w:ascii="宋体" w:cs="宋体" w:hAnsi="宋体"/>
                <w:b/>
                <w:bCs/>
                <w:iCs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iCs/>
                <w:sz w:val="24"/>
              </w:rPr>
              <w:t>5、杨府原料药厂区认证情况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/>
              <w:jc w:val="left"/>
              <w:rPr>
                <w:rStyle w:val="style4097"/>
                <w:rFonts w:ascii="宋体" w:hAnsi="宋体"/>
                <w:bCs/>
                <w:sz w:val="24"/>
                <w:szCs w:val="22"/>
              </w:rPr>
            </w:pP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公司</w:t>
            </w:r>
            <w:r>
              <w:rPr>
                <w:rFonts w:ascii="宋体" w:cs="宋体" w:hAnsi="宋体" w:hint="eastAsia"/>
                <w:iCs/>
                <w:sz w:val="24"/>
              </w:rPr>
              <w:t>杨府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原料药厂区围绕皮质激素类、孕激素类、性激素类、非激素类的几大品类原料药品种来做。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/>
              <w:jc w:val="left"/>
              <w:rPr>
                <w:rFonts w:ascii="宋体" w:cs="宋体" w:hAnsi="宋体"/>
                <w:iCs/>
                <w:sz w:val="24"/>
              </w:rPr>
            </w:pPr>
            <w:r>
              <w:rPr>
                <w:rFonts w:ascii="宋体" w:cs="宋体" w:hAnsi="宋体" w:hint="eastAsia"/>
                <w:iCs/>
                <w:sz w:val="24"/>
              </w:rPr>
              <w:t>今年5月份，杨府原料药厂区部分产品取得了欧</w:t>
            </w:r>
            <w:r>
              <w:rPr>
                <w:rFonts w:ascii="宋体" w:cs="宋体" w:hAnsi="宋体" w:hint="eastAsia"/>
                <w:iCs/>
                <w:sz w:val="24"/>
                <w:lang w:eastAsia="zh-CN"/>
              </w:rPr>
              <w:t>盟</w:t>
            </w:r>
            <w:r>
              <w:rPr>
                <w:rFonts w:ascii="宋体" w:cs="宋体" w:hAnsi="宋体" w:hint="default"/>
                <w:iCs/>
                <w:sz w:val="24"/>
                <w:lang w:val="en-US" w:eastAsia="zh-CN"/>
              </w:rPr>
              <w:t>CEP</w:t>
            </w:r>
            <w:r>
              <w:rPr>
                <w:rFonts w:ascii="宋体" w:cs="宋体" w:hAnsi="宋体" w:hint="eastAsia"/>
                <w:iCs/>
                <w:sz w:val="24"/>
                <w:lang w:val="en-US" w:eastAsia="zh-CN"/>
              </w:rPr>
              <w:t>证书</w:t>
            </w:r>
            <w:r>
              <w:rPr>
                <w:rFonts w:ascii="宋体" w:cs="宋体" w:hAnsi="宋体" w:hint="eastAsia"/>
                <w:iCs/>
                <w:sz w:val="24"/>
              </w:rPr>
              <w:t>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/>
              <w:jc w:val="left"/>
              <w:rPr>
                <w:rFonts w:ascii="宋体" w:cs="宋体" w:hAnsi="宋体"/>
                <w:iCs/>
                <w:sz w:val="24"/>
              </w:rPr>
            </w:pPr>
            <w:r>
              <w:rPr>
                <w:rFonts w:ascii="宋体" w:cs="宋体" w:hAnsi="宋体" w:hint="eastAsia"/>
                <w:iCs/>
                <w:sz w:val="24"/>
              </w:rPr>
              <w:t>今年9月份，杨府原料药厂区部分产品接受了日本官方的远程审计认证，目前已开始接收订单。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480"/>
              <w:jc w:val="left"/>
              <w:rPr>
                <w:rFonts w:ascii="宋体" w:cs="宋体" w:hAnsi="宋体"/>
                <w:iCs/>
                <w:sz w:val="24"/>
              </w:rPr>
            </w:pPr>
            <w:r>
              <w:rPr>
                <w:rFonts w:ascii="宋体" w:cs="宋体" w:hAnsi="宋体" w:hint="eastAsia"/>
                <w:iCs/>
                <w:sz w:val="24"/>
              </w:rPr>
              <w:t>杨府原料药厂区在今年3 、4月份就做好了美国FDA认证迎检的准备工作，疫情的原因，到目前为止还没有接到明确来检查的通知。FDA认证的延期，在一定程度上影响了公司在北美、南美等市场的客户开拓进度。这些市场一部分客户</w:t>
            </w:r>
            <w:r>
              <w:rPr>
                <w:rFonts w:ascii="宋体" w:cs="宋体" w:hAnsi="宋体" w:hint="eastAsia"/>
                <w:iCs/>
                <w:sz w:val="24"/>
              </w:rPr>
              <w:t>验证批已供货</w:t>
            </w:r>
            <w:r>
              <w:rPr>
                <w:rFonts w:ascii="宋体" w:cs="宋体" w:hAnsi="宋体" w:hint="eastAsia"/>
                <w:iCs/>
                <w:sz w:val="24"/>
              </w:rPr>
              <w:t>，但是商业规模销售还有待FDA认证的通过。</w:t>
            </w:r>
            <w:r>
              <w:rPr>
                <w:rFonts w:ascii="宋体" w:cs="宋体" w:hAnsi="宋体" w:hint="eastAsia"/>
                <w:iCs/>
                <w:sz w:val="24"/>
              </w:rPr>
              <w:t>公司</w:t>
            </w:r>
            <w:r>
              <w:rPr>
                <w:rFonts w:ascii="宋体" w:cs="宋体" w:hAnsi="宋体" w:hint="eastAsia"/>
                <w:iCs/>
                <w:sz w:val="24"/>
              </w:rPr>
              <w:t>随时做好</w:t>
            </w:r>
            <w:r>
              <w:rPr>
                <w:rFonts w:ascii="宋体" w:cs="宋体" w:hAnsi="宋体" w:hint="eastAsia"/>
                <w:iCs/>
                <w:sz w:val="24"/>
              </w:rPr>
              <w:t>准备</w:t>
            </w:r>
            <w:r>
              <w:rPr>
                <w:rFonts w:ascii="宋体" w:cs="宋体" w:hAnsi="宋体" w:hint="eastAsia"/>
                <w:iCs/>
                <w:sz w:val="24"/>
              </w:rPr>
              <w:t>迎接美国FDA认证。</w:t>
            </w:r>
          </w:p>
          <w:p>
            <w:pPr>
              <w:pStyle w:val="style0"/>
              <w:spacing w:lineRule="auto" w:line="360"/>
              <w:ind w:firstLine="482" w:firstLineChars="200"/>
              <w:rPr>
                <w:rStyle w:val="style4097"/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iCs/>
                <w:sz w:val="24"/>
              </w:rPr>
              <w:t>6、</w:t>
            </w:r>
            <w:r>
              <w:rPr>
                <w:rStyle w:val="style4097"/>
                <w:rFonts w:ascii="宋体" w:hAnsi="宋体" w:hint="eastAsia"/>
                <w:b/>
                <w:sz w:val="24"/>
                <w:szCs w:val="22"/>
              </w:rPr>
              <w:t>公司中长期战略定位及未来的发展布局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/>
                <w:bCs/>
                <w:sz w:val="24"/>
                <w:szCs w:val="22"/>
              </w:rPr>
            </w:pP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全球范围内的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甾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体药物的市场容量大，厂家主要集中在大型跨国制药公司，每家公司也各具特点，分别在呼吸科、雌激素补充、短效避孕药、皮质激素制剂等某类治疗领域独具特色。仙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琚</w:t>
            </w:r>
            <w:r>
              <w:rPr>
                <w:rStyle w:val="style4097"/>
                <w:rFonts w:ascii="宋体" w:hAnsi="宋体" w:hint="eastAsia"/>
                <w:bCs/>
                <w:sz w:val="24"/>
                <w:szCs w:val="22"/>
              </w:rPr>
              <w:t>制药兼具原料药与制剂一体化的产业链、制造体系完备（中国工厂和意大利工厂）、销售国内和国外两个市场，在细分领域独具特色。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/>
                <w:bCs/>
                <w:iCs/>
                <w:sz w:val="24"/>
                <w:szCs w:val="22"/>
              </w:rPr>
            </w:pPr>
            <w:r>
              <w:rPr>
                <w:rStyle w:val="style4097"/>
                <w:rFonts w:ascii="宋体" w:hAnsi="宋体" w:hint="eastAsia"/>
                <w:bCs/>
                <w:iCs/>
                <w:sz w:val="24"/>
                <w:szCs w:val="22"/>
              </w:rPr>
              <w:t>公司将长期聚焦甾体激素领域，做全、做精激素产业链、不断丰富原料药及制剂产品结构，专注于综合能力提升，不断提升产品的价值，在行业内形成小而美的行业特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  <w:szCs w:val="22"/>
              </w:rPr>
              <w:t>色。打造产品全、研究深、品质高、综合成本优的全球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  <w:szCs w:val="22"/>
              </w:rPr>
              <w:t>甾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  <w:szCs w:val="22"/>
              </w:rPr>
              <w:t>体激素产业链优质供应商。</w:t>
            </w:r>
          </w:p>
          <w:p>
            <w:pPr>
              <w:pStyle w:val="style4106"/>
              <w:spacing w:lineRule="auto" w:line="360"/>
              <w:ind w:firstLine="480" w:firstLineChars="200"/>
              <w:jc w:val="both"/>
              <w:rPr>
                <w:rStyle w:val="style4097"/>
                <w:rFonts w:cs="Times New Roman" w:hAnsi="宋体"/>
                <w:bCs/>
                <w:color w:val="auto"/>
                <w:kern w:val="2"/>
                <w:szCs w:val="22"/>
              </w:rPr>
            </w:pP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制剂产品线：公司将专注于高壁垒的复杂制剂研究，比如肺部给药、半固体凝胶，力争在无菌混悬、吸入制剂等复杂制剂领域实现研发跨越，不断的技术迭代和技术突破，实现高难度技术平台突破，体现高价值。同时普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药基本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属于低价药具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备价格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弹性、原料药与制剂一体化方面具备成本优势，在一致性评价基础上做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强做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大普药，丰富品类。</w:t>
            </w:r>
          </w:p>
          <w:p>
            <w:pPr>
              <w:pStyle w:val="style4106"/>
              <w:spacing w:lineRule="auto" w:line="360"/>
              <w:ind w:firstLine="480"/>
              <w:jc w:val="both"/>
              <w:rPr>
                <w:rStyle w:val="style4097"/>
                <w:rFonts w:hAnsi="宋体"/>
                <w:bCs/>
                <w:color w:val="auto"/>
                <w:szCs w:val="22"/>
              </w:rPr>
            </w:pP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原料药产品线：最近</w:t>
            </w:r>
            <w:r>
              <w:rPr>
                <w:rStyle w:val="style4097"/>
                <w:rFonts w:cs="Times New Roman" w:hAnsi="宋体"/>
                <w:bCs/>
                <w:color w:val="auto"/>
                <w:kern w:val="2"/>
                <w:szCs w:val="22"/>
              </w:rPr>
              <w:t>国家发展改革委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、</w:t>
            </w:r>
            <w:r>
              <w:rPr>
                <w:rStyle w:val="style4097"/>
                <w:rFonts w:cs="Times New Roman" w:hAnsi="宋体"/>
                <w:bCs/>
                <w:color w:val="auto"/>
                <w:kern w:val="2"/>
                <w:szCs w:val="22"/>
              </w:rPr>
              <w:t>工业和信息化部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颁发了《</w:t>
            </w:r>
            <w:r>
              <w:rPr>
                <w:rStyle w:val="style4097"/>
                <w:rFonts w:cs="Times New Roman" w:hAnsi="宋体"/>
                <w:bCs/>
                <w:color w:val="auto"/>
                <w:kern w:val="2"/>
                <w:szCs w:val="22"/>
              </w:rPr>
              <w:t>关于推动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原</w:t>
            </w:r>
            <w:r>
              <w:rPr>
                <w:rStyle w:val="style4097"/>
                <w:rFonts w:cs="Times New Roman" w:hAnsi="宋体"/>
                <w:bCs/>
                <w:color w:val="auto"/>
                <w:kern w:val="2"/>
                <w:szCs w:val="22"/>
              </w:rPr>
              <w:t>料药产业高质量发展实施方案的通知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》。原料药是公司的根基和优势之一，在原料药发展的布局上，公司一直遵行绿色、低碳的发展理念。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甾</w:t>
            </w:r>
            <w:r>
              <w:rPr>
                <w:rStyle w:val="style4097"/>
                <w:rFonts w:cs="Times New Roman" w:hAnsi="宋体" w:hint="eastAsia"/>
                <w:bCs/>
                <w:color w:val="auto"/>
                <w:kern w:val="2"/>
                <w:szCs w:val="22"/>
              </w:rPr>
              <w:t>体激素原</w:t>
            </w:r>
            <w:r>
              <w:rPr>
                <w:rStyle w:val="style4097"/>
                <w:rFonts w:hAnsi="宋体" w:hint="eastAsia"/>
                <w:bCs/>
                <w:color w:val="auto"/>
                <w:szCs w:val="22"/>
              </w:rPr>
              <w:t>料药具有高致敏性，对制造工艺、生产环境要求高；工艺过程复杂，兼具发酵和合成工艺。</w:t>
            </w:r>
          </w:p>
          <w:p>
            <w:pPr>
              <w:pStyle w:val="style4106"/>
              <w:spacing w:lineRule="auto" w:line="360"/>
              <w:ind w:firstLine="480"/>
              <w:jc w:val="both"/>
              <w:rPr>
                <w:color w:val="auto"/>
              </w:rPr>
            </w:pPr>
            <w:r>
              <w:rPr>
                <w:rStyle w:val="style4097"/>
                <w:rFonts w:hAnsi="宋体" w:hint="eastAsia"/>
                <w:bCs/>
                <w:color w:val="auto"/>
                <w:szCs w:val="22"/>
              </w:rPr>
              <w:t>公司高度重视</w:t>
            </w:r>
            <w:r>
              <w:rPr>
                <w:rFonts w:hint="eastAsia"/>
                <w:color w:val="auto"/>
              </w:rPr>
              <w:t>以技术工艺迭代为基础的</w:t>
            </w:r>
            <w:r>
              <w:rPr>
                <w:rFonts w:hint="eastAsia"/>
                <w:color w:val="auto"/>
              </w:rPr>
              <w:t>提质量</w:t>
            </w:r>
            <w:r>
              <w:rPr>
                <w:rFonts w:hint="eastAsia"/>
                <w:color w:val="auto"/>
              </w:rPr>
              <w:t>扩容，</w:t>
            </w:r>
            <w:r>
              <w:rPr>
                <w:rFonts w:hint="eastAsia"/>
                <w:color w:val="auto"/>
              </w:rPr>
              <w:t>专门组建原料药研究团队，</w:t>
            </w:r>
            <w:r>
              <w:rPr>
                <w:rFonts w:hint="eastAsia"/>
                <w:color w:val="auto"/>
              </w:rPr>
              <w:t>仙</w:t>
            </w:r>
            <w:r>
              <w:rPr>
                <w:rFonts w:hint="eastAsia"/>
                <w:color w:val="auto"/>
              </w:rPr>
              <w:t>琚</w:t>
            </w:r>
            <w:r>
              <w:rPr>
                <w:rFonts w:hint="eastAsia"/>
                <w:color w:val="auto"/>
              </w:rPr>
              <w:t>（嘉兴）医药科技有限公司于近期开始正式运营，将充分依托公共服务平台优势，不断提升</w:t>
            </w:r>
            <w:r>
              <w:rPr>
                <w:rFonts w:hint="eastAsia"/>
                <w:color w:val="auto"/>
                <w:lang w:eastAsia="zh-CN"/>
              </w:rPr>
              <w:t>原料药</w:t>
            </w:r>
            <w:r>
              <w:rPr>
                <w:rFonts w:hint="eastAsia"/>
                <w:color w:val="auto"/>
              </w:rPr>
              <w:t>研发水平和高端市场的申报能力。</w:t>
            </w:r>
          </w:p>
          <w:p>
            <w:pPr>
              <w:pStyle w:val="style4106"/>
              <w:spacing w:lineRule="auto" w:line="360"/>
              <w:ind w:firstLine="480"/>
              <w:jc w:val="both"/>
              <w:rPr>
                <w:rStyle w:val="style4097"/>
                <w:rFonts w:hAnsi="宋体"/>
                <w:bCs/>
                <w:color w:val="auto"/>
                <w:szCs w:val="22"/>
              </w:rPr>
            </w:pPr>
            <w:r>
              <w:rPr>
                <w:rFonts w:hint="eastAsia"/>
                <w:color w:val="auto"/>
              </w:rPr>
              <w:t>公司</w:t>
            </w:r>
            <w:r>
              <w:rPr>
                <w:rFonts w:hint="eastAsia"/>
                <w:color w:val="auto"/>
              </w:rPr>
              <w:t>目前已尝试开展具有</w:t>
            </w:r>
            <w:r>
              <w:rPr>
                <w:rFonts w:hint="eastAsia"/>
                <w:color w:val="auto"/>
              </w:rPr>
              <w:t>甾体特色</w:t>
            </w:r>
            <w:r>
              <w:rPr>
                <w:rFonts w:hint="eastAsia"/>
                <w:color w:val="auto"/>
              </w:rPr>
              <w:t>的原料药定制业务。</w:t>
            </w: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/>
                <w:bCs/>
                <w:iCs/>
                <w:sz w:val="24"/>
                <w:szCs w:val="22"/>
              </w:rPr>
            </w:pPr>
          </w:p>
          <w:p>
            <w:pPr>
              <w:pStyle w:val="style0"/>
              <w:spacing w:lineRule="atLeast" w:line="480"/>
              <w:ind w:firstLine="480" w:firstLineChars="200"/>
              <w:rPr>
                <w:rStyle w:val="style4097"/>
                <w:rFonts w:ascii="宋体" w:hAnsi="宋体"/>
                <w:bCs/>
                <w:iCs/>
                <w:sz w:val="24"/>
                <w:szCs w:val="22"/>
              </w:rPr>
            </w:pPr>
          </w:p>
          <w:p>
            <w:pPr>
              <w:pStyle w:val="style0"/>
              <w:spacing w:lineRule="atLeast" w:line="480"/>
              <w:ind w:firstLine="480" w:firstLineChars="200"/>
              <w:rPr>
                <w:rFonts w:ascii="宋体" w:hAnsi="宋体"/>
                <w:bCs/>
                <w:iCs/>
                <w:sz w:val="24"/>
                <w:szCs w:val="22"/>
              </w:rPr>
            </w:pPr>
          </w:p>
        </w:tc>
      </w:tr>
      <w:tr>
        <w:tblPrEx/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附件清单</w:t>
            </w:r>
          </w:p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（如有）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>无</w:t>
            </w:r>
          </w:p>
        </w:tc>
      </w:tr>
      <w:tr>
        <w:tblPrEx/>
        <w:trPr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/>
                <w:bCs/>
                <w:iCs/>
                <w:sz w:val="24"/>
              </w:rPr>
              <w:t>日期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tLeast" w:line="480"/>
              <w:rPr>
                <w:rStyle w:val="style4097"/>
                <w:rFonts w:ascii="宋体" w:hAnsi="宋体"/>
                <w:bCs/>
                <w:iCs/>
                <w:sz w:val="24"/>
              </w:rPr>
            </w:pPr>
            <w:r>
              <w:rPr>
                <w:rStyle w:val="style4097"/>
                <w:rFonts w:ascii="宋体" w:hAnsi="宋体"/>
                <w:bCs/>
                <w:iCs/>
                <w:sz w:val="24"/>
              </w:rPr>
              <w:t>20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21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年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1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2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月</w:t>
            </w:r>
            <w:r>
              <w:rPr>
                <w:rStyle w:val="style4097"/>
                <w:rFonts w:ascii="宋体" w:hAnsi="宋体" w:hint="eastAsia"/>
                <w:bCs/>
                <w:iCs/>
                <w:sz w:val="24"/>
              </w:rPr>
              <w:t>1</w:t>
            </w:r>
            <w:r>
              <w:rPr>
                <w:rStyle w:val="style4097"/>
                <w:rFonts w:ascii="宋体" w:hAnsi="宋体"/>
                <w:bCs/>
                <w:iCs/>
                <w:sz w:val="24"/>
              </w:rPr>
              <w:t>日</w:t>
            </w:r>
          </w:p>
        </w:tc>
      </w:tr>
    </w:tbl>
    <w:p>
      <w:pPr>
        <w:pStyle w:val="style0"/>
        <w:spacing w:lineRule="auto" w:line="360"/>
        <w:jc w:val="left"/>
        <w:rPr>
          <w:rStyle w:val="style4097"/>
          <w:rFonts w:ascii="宋体" w:hAnsi="宋体"/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105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4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rPr>
      <w:b/>
    </w:rPr>
  </w:style>
  <w:style w:type="character" w:customStyle="1" w:styleId="style4097">
    <w:name w:val="NormalCharacter"/>
    <w:next w:val="style4097"/>
    <w:qFormat/>
  </w:style>
  <w:style w:type="table" w:customStyle="1" w:styleId="style4098">
    <w:name w:val="TableNormal"/>
    <w:next w:val="style4098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099">
    <w:name w:val="UserStyle_0"/>
    <w:next w:val="style4099"/>
    <w:link w:val="style4100"/>
    <w:qFormat/>
    <w:rPr>
      <w:kern w:val="2"/>
      <w:sz w:val="18"/>
      <w:szCs w:val="18"/>
    </w:rPr>
  </w:style>
  <w:style w:type="paragraph" w:customStyle="1" w:styleId="style4100">
    <w:name w:val="页眉1"/>
    <w:basedOn w:val="style0"/>
    <w:next w:val="style4100"/>
    <w:link w:val="style4099"/>
    <w:qFormat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1">
    <w:name w:val="UserStyle_1"/>
    <w:next w:val="style4101"/>
    <w:link w:val="style4102"/>
    <w:qFormat/>
    <w:rPr>
      <w:kern w:val="2"/>
      <w:sz w:val="18"/>
      <w:szCs w:val="18"/>
    </w:rPr>
  </w:style>
  <w:style w:type="paragraph" w:customStyle="1" w:styleId="style4102">
    <w:name w:val="页脚1"/>
    <w:basedOn w:val="style0"/>
    <w:next w:val="style4102"/>
    <w:link w:val="style4101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customStyle="1" w:styleId="style4103">
    <w:name w:val="Acetate"/>
    <w:basedOn w:val="style0"/>
    <w:next w:val="style4103"/>
    <w:qFormat/>
    <w:pPr/>
    <w:rPr>
      <w:sz w:val="18"/>
      <w:szCs w:val="18"/>
    </w:rPr>
  </w:style>
  <w:style w:type="character" w:customStyle="1" w:styleId="style4104">
    <w:name w:val="页眉 Char"/>
    <w:basedOn w:val="style65"/>
    <w:next w:val="style4104"/>
    <w:link w:val="style31"/>
    <w:qFormat/>
    <w:uiPriority w:val="99"/>
    <w:rPr>
      <w:kern w:val="2"/>
      <w:sz w:val="18"/>
      <w:szCs w:val="18"/>
    </w:rPr>
  </w:style>
  <w:style w:type="character" w:customStyle="1" w:styleId="style4105">
    <w:name w:val="页脚 Char"/>
    <w:basedOn w:val="style65"/>
    <w:next w:val="style4105"/>
    <w:link w:val="style32"/>
    <w:qFormat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paragraph" w:customStyle="1" w:styleId="style4106">
    <w:name w:val="Default"/>
    <w:next w:val="style4106"/>
    <w:qFormat/>
    <w:pPr>
      <w:widowControl w:val="false"/>
      <w:autoSpaceDE w:val="false"/>
      <w:autoSpaceDN w:val="false"/>
      <w:adjustRightInd w:val="false"/>
    </w:pPr>
    <w:rPr>
      <w:rFonts w:ascii="宋体" w:cs="宋体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Words>2763</Words>
  <Pages>5</Pages>
  <Characters>2869</Characters>
  <Application>WPS Office</Application>
  <DocSecurity>0</DocSecurity>
  <Paragraphs>82</Paragraphs>
  <ScaleCrop>false</ScaleCrop>
  <LinksUpToDate>false</LinksUpToDate>
  <CharactersWithSpaces>3053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2019-10-30T07:33:00Z</dcterms:created>
  <dc:creator>XJ-CJ3-21</dc:creator>
  <lastModifiedBy>TAS-AL00</lastModifiedBy>
  <lastPrinted>2021-10-28T05:02:00Z</lastPrinted>
  <dcterms:modified xsi:type="dcterms:W3CDTF">2021-12-02T05:22:49Z</dcterms:modified>
  <revision>79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0C55491F7AFD404AB9BD75D0459757EB</vt:lpwstr>
  </property>
</Properties>
</file>