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after="156" w:line="400" w:lineRule="exact"/>
        <w:ind w:firstLine="720" w:firstLineChars="300"/>
        <w:rPr>
          <w:rStyle w:val="8"/>
          <w:rFonts w:ascii="宋体" w:hAnsi="宋体"/>
          <w:bCs/>
          <w:iCs/>
          <w:color w:val="000000"/>
          <w:sz w:val="24"/>
        </w:rPr>
      </w:pPr>
      <w:r>
        <w:rPr>
          <w:rStyle w:val="8"/>
          <w:rFonts w:ascii="宋体" w:hAnsi="宋体"/>
          <w:bCs/>
          <w:iCs/>
          <w:color w:val="000000"/>
          <w:sz w:val="24"/>
        </w:rPr>
        <w:t>证券代码：002332                  证券简称：仙琚制药</w:t>
      </w:r>
    </w:p>
    <w:p>
      <w:pPr>
        <w:spacing w:before="156" w:after="156" w:line="400" w:lineRule="exact"/>
        <w:ind w:firstLine="720" w:firstLineChars="300"/>
        <w:rPr>
          <w:rStyle w:val="8"/>
          <w:rFonts w:ascii="宋体" w:hAnsi="宋体"/>
          <w:bCs/>
          <w:iCs/>
          <w:color w:val="000000"/>
          <w:sz w:val="24"/>
        </w:rPr>
      </w:pPr>
    </w:p>
    <w:p>
      <w:pPr>
        <w:spacing w:before="156" w:after="156" w:line="400" w:lineRule="exact"/>
        <w:jc w:val="center"/>
        <w:rPr>
          <w:rStyle w:val="8"/>
          <w:rFonts w:ascii="宋体" w:hAnsi="宋体"/>
          <w:b/>
          <w:bCs/>
          <w:iCs/>
          <w:color w:val="000000"/>
          <w:sz w:val="32"/>
          <w:szCs w:val="32"/>
        </w:rPr>
      </w:pPr>
      <w:r>
        <w:rPr>
          <w:rStyle w:val="8"/>
          <w:rFonts w:ascii="宋体" w:hAnsi="宋体"/>
          <w:b/>
          <w:bCs/>
          <w:iCs/>
          <w:color w:val="000000"/>
          <w:sz w:val="32"/>
          <w:szCs w:val="32"/>
        </w:rPr>
        <w:t>浙江仙琚制药股份有限公司投资者关系活动记录表</w:t>
      </w:r>
    </w:p>
    <w:p>
      <w:pPr>
        <w:spacing w:line="400" w:lineRule="exact"/>
        <w:rPr>
          <w:rStyle w:val="8"/>
          <w:rFonts w:hint="eastAsia" w:ascii="宋体" w:hAnsi="宋体" w:eastAsia="宋体"/>
          <w:bCs/>
          <w:iCs/>
          <w:color w:val="FF0000"/>
          <w:sz w:val="24"/>
          <w:lang w:eastAsia="zh-CN"/>
        </w:rPr>
      </w:pPr>
      <w:r>
        <w:rPr>
          <w:rStyle w:val="8"/>
          <w:rFonts w:ascii="宋体" w:hAnsi="宋体"/>
          <w:bCs/>
          <w:iCs/>
          <w:color w:val="000000"/>
          <w:sz w:val="24"/>
        </w:rPr>
        <w:t xml:space="preserve">                                                      编号：20</w:t>
      </w:r>
      <w:r>
        <w:rPr>
          <w:rStyle w:val="8"/>
          <w:rFonts w:hint="eastAsia" w:ascii="宋体" w:hAnsi="宋体"/>
          <w:bCs/>
          <w:iCs/>
          <w:color w:val="000000"/>
          <w:sz w:val="24"/>
        </w:rPr>
        <w:t>21</w:t>
      </w:r>
      <w:r>
        <w:rPr>
          <w:rStyle w:val="8"/>
          <w:rFonts w:ascii="宋体" w:hAnsi="宋体"/>
          <w:bCs/>
          <w:iCs/>
          <w:color w:val="000000"/>
          <w:sz w:val="24"/>
        </w:rPr>
        <w:t>-0</w:t>
      </w:r>
      <w:r>
        <w:rPr>
          <w:rStyle w:val="8"/>
          <w:rFonts w:hint="eastAsia" w:ascii="宋体" w:hAnsi="宋体"/>
          <w:bCs/>
          <w:iCs/>
          <w:color w:val="000000"/>
          <w:sz w:val="24"/>
        </w:rPr>
        <w:t>1</w:t>
      </w:r>
      <w:r>
        <w:rPr>
          <w:rStyle w:val="8"/>
          <w:rFonts w:hint="eastAsia" w:ascii="宋体" w:hAnsi="宋体"/>
          <w:bCs/>
          <w:iCs/>
          <w:color w:val="000000"/>
          <w:sz w:val="24"/>
          <w:lang w:val="en-US" w:eastAsia="zh-CN"/>
        </w:rPr>
        <w:t>2</w:t>
      </w:r>
    </w:p>
    <w:tbl>
      <w:tblPr>
        <w:tblStyle w:val="5"/>
        <w:tblW w:w="802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6"/>
        <w:gridCol w:w="6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766"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480" w:lineRule="atLeast"/>
              <w:ind w:left="0" w:right="0"/>
              <w:rPr>
                <w:rStyle w:val="8"/>
                <w:rFonts w:ascii="宋体" w:hAnsi="宋体"/>
                <w:b/>
                <w:bCs/>
                <w:iCs/>
                <w:color w:val="000000"/>
                <w:sz w:val="24"/>
              </w:rPr>
            </w:pPr>
            <w:r>
              <w:rPr>
                <w:rStyle w:val="8"/>
                <w:rFonts w:ascii="宋体" w:hAnsi="宋体"/>
                <w:b/>
                <w:bCs/>
                <w:iCs/>
                <w:color w:val="000000"/>
                <w:sz w:val="24"/>
              </w:rPr>
              <w:t>投资者关系</w:t>
            </w:r>
          </w:p>
          <w:p>
            <w:pPr>
              <w:keepNext w:val="0"/>
              <w:keepLines w:val="0"/>
              <w:widowControl/>
              <w:suppressLineNumbers w:val="0"/>
              <w:spacing w:before="0" w:beforeAutospacing="0" w:after="0" w:afterAutospacing="0" w:line="480" w:lineRule="atLeast"/>
              <w:ind w:left="0" w:right="0"/>
              <w:rPr>
                <w:rStyle w:val="8"/>
                <w:rFonts w:ascii="宋体" w:hAnsi="宋体"/>
                <w:b/>
                <w:bCs/>
                <w:iCs/>
                <w:color w:val="000000"/>
                <w:sz w:val="24"/>
              </w:rPr>
            </w:pPr>
            <w:r>
              <w:rPr>
                <w:rStyle w:val="8"/>
                <w:rFonts w:ascii="宋体" w:hAnsi="宋体"/>
                <w:b/>
                <w:bCs/>
                <w:iCs/>
                <w:color w:val="000000"/>
                <w:sz w:val="24"/>
              </w:rPr>
              <w:t>活动类别</w:t>
            </w:r>
          </w:p>
          <w:p>
            <w:pPr>
              <w:keepNext w:val="0"/>
              <w:keepLines w:val="0"/>
              <w:widowControl/>
              <w:suppressLineNumbers w:val="0"/>
              <w:spacing w:before="0" w:beforeAutospacing="0" w:after="0" w:afterAutospacing="0" w:line="480" w:lineRule="atLeast"/>
              <w:ind w:left="0" w:right="0"/>
              <w:rPr>
                <w:rStyle w:val="8"/>
                <w:rFonts w:ascii="宋体" w:hAnsi="宋体"/>
                <w:b/>
                <w:bCs/>
                <w:iCs/>
                <w:color w:val="000000"/>
                <w:sz w:val="24"/>
              </w:rPr>
            </w:pPr>
          </w:p>
        </w:tc>
        <w:tc>
          <w:tcPr>
            <w:tcW w:w="626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480" w:lineRule="atLeast"/>
              <w:ind w:left="0" w:right="0"/>
              <w:rPr>
                <w:rStyle w:val="8"/>
                <w:rFonts w:ascii="宋体" w:hAnsi="宋体"/>
                <w:bCs/>
                <w:iCs/>
                <w:color w:val="000000"/>
                <w:sz w:val="24"/>
              </w:rPr>
            </w:pPr>
            <w:r>
              <w:rPr>
                <w:rStyle w:val="8"/>
                <w:rFonts w:ascii="宋体" w:hAnsi="宋体"/>
                <w:bCs/>
                <w:iCs/>
                <w:color w:val="000000"/>
                <w:sz w:val="24"/>
              </w:rPr>
              <w:sym w:font="Wingdings 2" w:char="0052"/>
            </w:r>
            <w:r>
              <w:rPr>
                <w:rStyle w:val="8"/>
                <w:rFonts w:ascii="宋体" w:hAnsi="宋体"/>
                <w:iCs/>
                <w:sz w:val="24"/>
              </w:rPr>
              <w:t xml:space="preserve">特定对象调研      </w:t>
            </w:r>
            <w:r>
              <w:rPr>
                <w:rStyle w:val="8"/>
                <w:rFonts w:ascii="宋体" w:hAnsi="宋体"/>
                <w:bCs/>
                <w:iCs/>
                <w:color w:val="000000"/>
                <w:sz w:val="24"/>
              </w:rPr>
              <w:t>□</w:t>
            </w:r>
            <w:r>
              <w:rPr>
                <w:rStyle w:val="8"/>
                <w:rFonts w:ascii="宋体" w:hAnsi="宋体"/>
                <w:iCs/>
                <w:sz w:val="24"/>
              </w:rPr>
              <w:t>分析师会议</w:t>
            </w:r>
          </w:p>
          <w:p>
            <w:pPr>
              <w:keepNext w:val="0"/>
              <w:keepLines w:val="0"/>
              <w:widowControl/>
              <w:suppressLineNumbers w:val="0"/>
              <w:spacing w:before="0" w:beforeAutospacing="0" w:after="0" w:afterAutospacing="0" w:line="480" w:lineRule="atLeast"/>
              <w:ind w:left="0" w:right="0"/>
              <w:rPr>
                <w:rStyle w:val="8"/>
                <w:rFonts w:ascii="宋体" w:hAnsi="宋体"/>
                <w:bCs/>
                <w:iCs/>
                <w:color w:val="000000"/>
                <w:sz w:val="24"/>
              </w:rPr>
            </w:pPr>
            <w:r>
              <w:rPr>
                <w:rStyle w:val="8"/>
                <w:rFonts w:ascii="宋体" w:hAnsi="宋体"/>
                <w:bCs/>
                <w:iCs/>
                <w:color w:val="000000"/>
                <w:sz w:val="24"/>
              </w:rPr>
              <w:sym w:font="Wingdings 2" w:char="00A3"/>
            </w:r>
            <w:r>
              <w:rPr>
                <w:rStyle w:val="8"/>
                <w:rFonts w:ascii="宋体" w:hAnsi="宋体"/>
                <w:iCs/>
                <w:sz w:val="24"/>
              </w:rPr>
              <w:t xml:space="preserve">媒体采访           </w:t>
            </w:r>
            <w:r>
              <w:rPr>
                <w:rStyle w:val="8"/>
                <w:rFonts w:ascii="宋体" w:hAnsi="宋体"/>
                <w:bCs/>
                <w:iCs/>
                <w:color w:val="000000"/>
                <w:sz w:val="24"/>
              </w:rPr>
              <w:t>□</w:t>
            </w:r>
            <w:r>
              <w:rPr>
                <w:rStyle w:val="8"/>
                <w:rFonts w:ascii="宋体" w:hAnsi="宋体"/>
                <w:iCs/>
                <w:sz w:val="24"/>
              </w:rPr>
              <w:t>业绩说明会</w:t>
            </w:r>
          </w:p>
          <w:p>
            <w:pPr>
              <w:keepNext w:val="0"/>
              <w:keepLines w:val="0"/>
              <w:widowControl/>
              <w:suppressLineNumbers w:val="0"/>
              <w:spacing w:before="0" w:beforeAutospacing="0" w:after="0" w:afterAutospacing="0" w:line="480" w:lineRule="atLeast"/>
              <w:ind w:left="0" w:right="0"/>
              <w:rPr>
                <w:rStyle w:val="8"/>
                <w:rFonts w:ascii="宋体" w:hAnsi="宋体"/>
                <w:bCs/>
                <w:iCs/>
                <w:color w:val="000000"/>
                <w:sz w:val="24"/>
              </w:rPr>
            </w:pPr>
            <w:r>
              <w:rPr>
                <w:rStyle w:val="8"/>
                <w:rFonts w:ascii="宋体" w:hAnsi="宋体"/>
                <w:bCs/>
                <w:iCs/>
                <w:color w:val="000000"/>
                <w:sz w:val="24"/>
              </w:rPr>
              <w:t>□</w:t>
            </w:r>
            <w:r>
              <w:rPr>
                <w:rStyle w:val="8"/>
                <w:rFonts w:ascii="宋体" w:hAnsi="宋体"/>
                <w:iCs/>
                <w:sz w:val="24"/>
              </w:rPr>
              <w:t xml:space="preserve">新闻发布会         </w:t>
            </w:r>
            <w:r>
              <w:rPr>
                <w:rStyle w:val="8"/>
                <w:rFonts w:ascii="宋体" w:hAnsi="宋体"/>
                <w:bCs/>
                <w:iCs/>
                <w:color w:val="000000"/>
                <w:sz w:val="24"/>
              </w:rPr>
              <w:t>□</w:t>
            </w:r>
            <w:r>
              <w:rPr>
                <w:rStyle w:val="8"/>
                <w:rFonts w:ascii="宋体" w:hAnsi="宋体"/>
                <w:iCs/>
                <w:sz w:val="24"/>
              </w:rPr>
              <w:t>路演活动</w:t>
            </w:r>
          </w:p>
          <w:p>
            <w:pPr>
              <w:keepNext w:val="0"/>
              <w:keepLines w:val="0"/>
              <w:widowControl/>
              <w:suppressLineNumbers w:val="0"/>
              <w:tabs>
                <w:tab w:val="center" w:pos="3199"/>
              </w:tabs>
              <w:spacing w:before="0" w:beforeAutospacing="0" w:after="0" w:afterAutospacing="0" w:line="480" w:lineRule="atLeast"/>
              <w:ind w:left="0" w:right="0"/>
              <w:rPr>
                <w:rStyle w:val="8"/>
                <w:rFonts w:ascii="宋体" w:hAnsi="宋体"/>
                <w:bCs/>
                <w:iCs/>
                <w:color w:val="000000"/>
                <w:sz w:val="24"/>
              </w:rPr>
            </w:pPr>
            <w:r>
              <w:rPr>
                <w:rStyle w:val="8"/>
                <w:rFonts w:ascii="宋体" w:hAnsi="宋体"/>
                <w:bCs/>
                <w:iCs/>
                <w:color w:val="000000"/>
                <w:sz w:val="24"/>
              </w:rPr>
              <w:sym w:font="Wingdings 2" w:char="00A3"/>
            </w:r>
            <w:r>
              <w:rPr>
                <w:rStyle w:val="8"/>
                <w:rFonts w:ascii="宋体" w:hAnsi="宋体"/>
                <w:iCs/>
                <w:sz w:val="24"/>
              </w:rPr>
              <w:t>现场参观</w:t>
            </w:r>
            <w:r>
              <w:rPr>
                <w:rStyle w:val="8"/>
                <w:rFonts w:hint="eastAsia" w:ascii="宋体" w:hAnsi="宋体"/>
                <w:iCs/>
                <w:sz w:val="24"/>
              </w:rPr>
              <w:t xml:space="preserve">           </w:t>
            </w:r>
            <w:r>
              <w:rPr>
                <w:rStyle w:val="8"/>
                <w:rFonts w:ascii="宋体" w:hAnsi="宋体"/>
                <w:bCs/>
                <w:iCs/>
                <w:color w:val="000000"/>
                <w:sz w:val="24"/>
              </w:rPr>
              <w:sym w:font="Wingdings 2" w:char="0052"/>
            </w:r>
            <w:r>
              <w:rPr>
                <w:rStyle w:val="8"/>
                <w:rFonts w:ascii="宋体" w:hAnsi="宋体"/>
                <w:iCs/>
                <w:sz w:val="24"/>
              </w:rPr>
              <w:t xml:space="preserve">其他 </w:t>
            </w:r>
            <w:r>
              <w:rPr>
                <w:rStyle w:val="8"/>
                <w:rFonts w:ascii="宋体" w:hAnsi="宋体"/>
                <w:iCs/>
                <w:sz w:val="24"/>
                <w:szCs w:val="22"/>
              </w:rPr>
              <w:t>电话会议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766"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480" w:lineRule="atLeast"/>
              <w:ind w:left="0" w:right="0"/>
              <w:rPr>
                <w:rStyle w:val="8"/>
                <w:rFonts w:ascii="宋体" w:hAnsi="宋体"/>
                <w:b/>
                <w:bCs/>
                <w:iCs/>
                <w:color w:val="000000"/>
                <w:sz w:val="24"/>
              </w:rPr>
            </w:pPr>
            <w:r>
              <w:rPr>
                <w:rStyle w:val="8"/>
                <w:rFonts w:ascii="宋体" w:hAnsi="宋体"/>
                <w:b/>
                <w:bCs/>
                <w:iCs/>
                <w:color w:val="000000"/>
                <w:sz w:val="24"/>
              </w:rPr>
              <w:t>参与单位名称</w:t>
            </w:r>
          </w:p>
        </w:tc>
        <w:tc>
          <w:tcPr>
            <w:tcW w:w="626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480" w:lineRule="atLeast"/>
              <w:ind w:left="0" w:right="0" w:firstLine="480" w:firstLineChars="200"/>
              <w:rPr>
                <w:rStyle w:val="8"/>
                <w:rFonts w:hint="eastAsia" w:ascii="宋体" w:hAnsi="宋体"/>
                <w:iCs/>
                <w:color w:val="auto"/>
                <w:sz w:val="24"/>
                <w:lang w:val="en-US" w:eastAsia="zh-CN"/>
              </w:rPr>
            </w:pPr>
            <w:r>
              <w:rPr>
                <w:rStyle w:val="8"/>
                <w:rFonts w:hint="eastAsia" w:ascii="宋体" w:hAnsi="宋体"/>
                <w:iCs/>
                <w:color w:val="auto"/>
                <w:sz w:val="24"/>
                <w:lang w:eastAsia="zh-CN"/>
              </w:rPr>
              <w:t>华创证券</w:t>
            </w:r>
            <w:r>
              <w:rPr>
                <w:rStyle w:val="8"/>
                <w:rFonts w:hint="eastAsia" w:ascii="宋体" w:hAnsi="宋体"/>
                <w:iCs/>
                <w:color w:val="auto"/>
                <w:sz w:val="24"/>
              </w:rPr>
              <w:t xml:space="preserve">  </w:t>
            </w:r>
            <w:r>
              <w:rPr>
                <w:rStyle w:val="8"/>
                <w:rFonts w:hint="eastAsia" w:ascii="宋体" w:hAnsi="宋体"/>
                <w:iCs/>
                <w:color w:val="auto"/>
                <w:sz w:val="24"/>
                <w:lang w:eastAsia="zh-CN"/>
              </w:rPr>
              <w:t>国投瑞银</w:t>
            </w:r>
            <w:r>
              <w:rPr>
                <w:rStyle w:val="8"/>
                <w:rFonts w:hint="eastAsia" w:ascii="宋体" w:hAnsi="宋体"/>
                <w:iCs/>
                <w:color w:val="auto"/>
                <w:sz w:val="24"/>
              </w:rPr>
              <w:t xml:space="preserve">  中信保诚</w:t>
            </w:r>
            <w:r>
              <w:rPr>
                <w:rStyle w:val="8"/>
                <w:rFonts w:hint="eastAsia" w:ascii="宋体" w:hAnsi="宋体"/>
                <w:iCs/>
                <w:color w:val="auto"/>
                <w:sz w:val="24"/>
                <w:lang w:val="en-US" w:eastAsia="zh-CN"/>
              </w:rPr>
              <w:t xml:space="preserve">  国寿养老</w:t>
            </w:r>
          </w:p>
          <w:p>
            <w:pPr>
              <w:keepNext w:val="0"/>
              <w:keepLines w:val="0"/>
              <w:widowControl/>
              <w:suppressLineNumbers w:val="0"/>
              <w:spacing w:before="0" w:beforeAutospacing="0" w:after="0" w:afterAutospacing="0" w:line="480" w:lineRule="atLeast"/>
              <w:ind w:left="0" w:right="0" w:firstLine="480" w:firstLineChars="200"/>
              <w:rPr>
                <w:rStyle w:val="8"/>
                <w:rFonts w:hint="eastAsia" w:ascii="宋体" w:hAnsi="宋体"/>
                <w:iCs/>
                <w:color w:val="auto"/>
                <w:sz w:val="24"/>
                <w:lang w:val="en-US" w:eastAsia="zh-CN"/>
              </w:rPr>
            </w:pPr>
            <w:r>
              <w:rPr>
                <w:rStyle w:val="8"/>
                <w:rFonts w:hint="default" w:ascii="宋体" w:hAnsi="宋体"/>
                <w:iCs/>
                <w:color w:val="auto"/>
                <w:sz w:val="24"/>
                <w:lang w:val="en-US" w:eastAsia="zh-CN"/>
              </w:rPr>
              <w:t>星石投资</w:t>
            </w:r>
            <w:r>
              <w:rPr>
                <w:rStyle w:val="8"/>
                <w:rFonts w:hint="eastAsia" w:ascii="宋体" w:hAnsi="宋体"/>
                <w:iCs/>
                <w:color w:val="auto"/>
                <w:sz w:val="24"/>
                <w:lang w:val="en-US" w:eastAsia="zh-CN"/>
              </w:rPr>
              <w:t xml:space="preserve">  金友创智  九方智投  长城财富</w:t>
            </w:r>
          </w:p>
          <w:p>
            <w:pPr>
              <w:keepNext w:val="0"/>
              <w:keepLines w:val="0"/>
              <w:widowControl/>
              <w:suppressLineNumbers w:val="0"/>
              <w:spacing w:before="0" w:beforeAutospacing="0" w:after="0" w:afterAutospacing="0" w:line="480" w:lineRule="atLeast"/>
              <w:ind w:left="0" w:right="0" w:firstLine="480" w:firstLineChars="200"/>
              <w:rPr>
                <w:rStyle w:val="8"/>
                <w:rFonts w:hint="eastAsia" w:ascii="宋体" w:hAnsi="宋体"/>
                <w:iCs/>
                <w:color w:val="auto"/>
                <w:sz w:val="24"/>
                <w:lang w:val="en-US" w:eastAsia="zh-CN"/>
              </w:rPr>
            </w:pPr>
            <w:r>
              <w:rPr>
                <w:rStyle w:val="8"/>
                <w:rFonts w:hint="default" w:ascii="宋体" w:hAnsi="宋体"/>
                <w:iCs/>
                <w:color w:val="auto"/>
                <w:sz w:val="24"/>
                <w:lang w:val="en-US" w:eastAsia="zh-CN"/>
              </w:rPr>
              <w:t>东海自营</w:t>
            </w:r>
            <w:r>
              <w:rPr>
                <w:rStyle w:val="8"/>
                <w:rFonts w:hint="eastAsia" w:ascii="宋体" w:hAnsi="宋体"/>
                <w:iCs/>
                <w:color w:val="auto"/>
                <w:sz w:val="24"/>
                <w:lang w:val="en-US" w:eastAsia="zh-CN"/>
              </w:rPr>
              <w:t xml:space="preserve">  九泰基金  </w:t>
            </w:r>
            <w:r>
              <w:rPr>
                <w:rStyle w:val="8"/>
                <w:rFonts w:hint="default" w:ascii="宋体" w:hAnsi="宋体"/>
                <w:iCs/>
                <w:color w:val="auto"/>
                <w:sz w:val="24"/>
                <w:lang w:val="en-US" w:eastAsia="zh-CN"/>
              </w:rPr>
              <w:t>建信基金</w:t>
            </w:r>
            <w:r>
              <w:rPr>
                <w:rStyle w:val="8"/>
                <w:rFonts w:hint="eastAsia" w:ascii="宋体" w:hAnsi="宋体"/>
                <w:iCs/>
                <w:color w:val="auto"/>
                <w:sz w:val="24"/>
                <w:lang w:val="en-US" w:eastAsia="zh-CN"/>
              </w:rPr>
              <w:t xml:space="preserve">  域秀投资</w:t>
            </w:r>
          </w:p>
          <w:p>
            <w:pPr>
              <w:keepNext w:val="0"/>
              <w:keepLines w:val="0"/>
              <w:widowControl/>
              <w:suppressLineNumbers w:val="0"/>
              <w:spacing w:before="0" w:beforeAutospacing="0" w:after="0" w:afterAutospacing="0" w:line="480" w:lineRule="atLeast"/>
              <w:ind w:left="0" w:right="0" w:firstLine="480" w:firstLineChars="200"/>
              <w:rPr>
                <w:rStyle w:val="8"/>
                <w:rFonts w:hint="eastAsia" w:ascii="宋体" w:hAnsi="宋体"/>
                <w:iCs/>
                <w:color w:val="auto"/>
                <w:sz w:val="24"/>
                <w:lang w:val="en-US" w:eastAsia="zh-CN"/>
              </w:rPr>
            </w:pPr>
            <w:r>
              <w:rPr>
                <w:rStyle w:val="8"/>
                <w:rFonts w:hint="default" w:ascii="宋体" w:hAnsi="宋体"/>
                <w:iCs/>
                <w:color w:val="auto"/>
                <w:sz w:val="24"/>
                <w:lang w:val="en-US" w:eastAsia="zh-CN"/>
              </w:rPr>
              <w:t>南方</w:t>
            </w:r>
            <w:r>
              <w:rPr>
                <w:rStyle w:val="8"/>
                <w:rFonts w:hint="eastAsia" w:ascii="宋体" w:hAnsi="宋体"/>
                <w:iCs/>
                <w:color w:val="auto"/>
                <w:sz w:val="24"/>
                <w:lang w:val="en-US" w:eastAsia="zh-CN"/>
              </w:rPr>
              <w:t>基金  重阳投资  安中投资  中海基金</w:t>
            </w:r>
          </w:p>
          <w:p>
            <w:pPr>
              <w:keepNext w:val="0"/>
              <w:keepLines w:val="0"/>
              <w:widowControl/>
              <w:suppressLineNumbers w:val="0"/>
              <w:spacing w:before="0" w:beforeAutospacing="0" w:after="0" w:afterAutospacing="0" w:line="480" w:lineRule="atLeast"/>
              <w:ind w:left="0" w:right="0" w:firstLine="480" w:firstLineChars="200"/>
              <w:rPr>
                <w:rStyle w:val="8"/>
                <w:rFonts w:hint="eastAsia" w:ascii="宋体" w:hAnsi="宋体"/>
                <w:iCs/>
                <w:color w:val="auto"/>
                <w:sz w:val="24"/>
                <w:lang w:val="en-US" w:eastAsia="zh-CN"/>
              </w:rPr>
            </w:pPr>
            <w:r>
              <w:rPr>
                <w:rStyle w:val="8"/>
                <w:rFonts w:hint="default" w:ascii="宋体" w:hAnsi="宋体"/>
                <w:iCs/>
                <w:color w:val="auto"/>
                <w:sz w:val="24"/>
                <w:lang w:val="en-US" w:eastAsia="zh-CN"/>
              </w:rPr>
              <w:t>进门财经</w:t>
            </w:r>
            <w:r>
              <w:rPr>
                <w:rStyle w:val="8"/>
                <w:rFonts w:hint="eastAsia" w:ascii="宋体" w:hAnsi="宋体"/>
                <w:iCs/>
                <w:color w:val="auto"/>
                <w:sz w:val="24"/>
                <w:lang w:val="en-US" w:eastAsia="zh-CN"/>
              </w:rPr>
              <w:t xml:space="preserve">  中欧基金  七曜投资  固禾资产</w:t>
            </w:r>
          </w:p>
          <w:p>
            <w:pPr>
              <w:keepNext w:val="0"/>
              <w:keepLines w:val="0"/>
              <w:widowControl/>
              <w:suppressLineNumbers w:val="0"/>
              <w:spacing w:before="0" w:beforeAutospacing="0" w:after="0" w:afterAutospacing="0" w:line="480" w:lineRule="atLeast"/>
              <w:ind w:left="0" w:right="0" w:firstLine="480" w:firstLineChars="200"/>
              <w:rPr>
                <w:rStyle w:val="8"/>
                <w:rFonts w:hint="eastAsia" w:ascii="宋体" w:hAnsi="宋体"/>
                <w:iCs/>
                <w:color w:val="auto"/>
                <w:sz w:val="24"/>
                <w:lang w:val="en-US" w:eastAsia="zh-CN"/>
              </w:rPr>
            </w:pPr>
            <w:r>
              <w:rPr>
                <w:rStyle w:val="8"/>
                <w:rFonts w:hint="default" w:ascii="宋体" w:hAnsi="宋体"/>
                <w:iCs/>
                <w:color w:val="auto"/>
                <w:sz w:val="24"/>
                <w:lang w:val="en-US" w:eastAsia="zh-CN"/>
              </w:rPr>
              <w:t>华夏基金</w:t>
            </w:r>
            <w:r>
              <w:rPr>
                <w:rStyle w:val="8"/>
                <w:rFonts w:hint="eastAsia" w:ascii="宋体" w:hAnsi="宋体"/>
                <w:iCs/>
                <w:color w:val="auto"/>
                <w:sz w:val="24"/>
                <w:lang w:val="en-US" w:eastAsia="zh-CN"/>
              </w:rPr>
              <w:t xml:space="preserve">  格林基金  和聚投研  国君资管</w:t>
            </w:r>
          </w:p>
          <w:p>
            <w:pPr>
              <w:keepNext w:val="0"/>
              <w:keepLines w:val="0"/>
              <w:widowControl/>
              <w:suppressLineNumbers w:val="0"/>
              <w:spacing w:before="0" w:beforeAutospacing="0" w:after="0" w:afterAutospacing="0" w:line="480" w:lineRule="atLeast"/>
              <w:ind w:left="0" w:right="0" w:firstLine="480" w:firstLineChars="200"/>
              <w:rPr>
                <w:rStyle w:val="8"/>
                <w:rFonts w:hint="default" w:ascii="宋体" w:hAnsi="宋体"/>
                <w:iCs/>
                <w:color w:val="auto"/>
                <w:sz w:val="24"/>
                <w:lang w:val="en-US" w:eastAsia="zh-CN"/>
              </w:rPr>
            </w:pPr>
            <w:r>
              <w:rPr>
                <w:rStyle w:val="8"/>
                <w:rFonts w:hint="default" w:ascii="宋体" w:hAnsi="宋体"/>
                <w:iCs/>
                <w:color w:val="auto"/>
                <w:sz w:val="24"/>
                <w:lang w:val="en-US" w:eastAsia="zh-CN"/>
              </w:rPr>
              <w:t>上投</w:t>
            </w:r>
            <w:r>
              <w:rPr>
                <w:rStyle w:val="8"/>
                <w:rFonts w:hint="eastAsia" w:ascii="宋体" w:hAnsi="宋体"/>
                <w:iCs/>
                <w:color w:val="auto"/>
                <w:sz w:val="24"/>
                <w:lang w:val="en-US" w:eastAsia="zh-CN"/>
              </w:rPr>
              <w:t xml:space="preserve">摩根  长盛基金  泰康资产  </w:t>
            </w:r>
            <w:bookmarkStart w:id="0" w:name="_GoBack"/>
            <w:bookmarkEnd w:id="0"/>
            <w:r>
              <w:rPr>
                <w:rStyle w:val="8"/>
                <w:rFonts w:hint="default" w:ascii="宋体" w:hAnsi="宋体"/>
                <w:iCs/>
                <w:color w:val="auto"/>
                <w:sz w:val="24"/>
                <w:lang w:val="en-US" w:eastAsia="zh-CN"/>
              </w:rPr>
              <w:t>彤源投资</w:t>
            </w:r>
            <w:r>
              <w:rPr>
                <w:rStyle w:val="8"/>
                <w:rFonts w:hint="eastAsia" w:ascii="宋体" w:hAnsi="宋体"/>
                <w:iCs/>
                <w:color w:val="auto"/>
                <w:sz w:val="24"/>
                <w:lang w:val="en-US" w:eastAsia="zh-CN"/>
              </w:rPr>
              <w:t xml:space="preserve">  </w:t>
            </w:r>
          </w:p>
          <w:p>
            <w:pPr>
              <w:keepNext w:val="0"/>
              <w:keepLines w:val="0"/>
              <w:widowControl/>
              <w:suppressLineNumbers w:val="0"/>
              <w:spacing w:before="0" w:beforeAutospacing="0" w:after="0" w:afterAutospacing="0" w:line="480" w:lineRule="atLeast"/>
              <w:ind w:left="0" w:right="0"/>
              <w:rPr>
                <w:rStyle w:val="8"/>
                <w:rFonts w:ascii="宋体" w:hAnsi="宋体"/>
                <w:i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766"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480" w:lineRule="atLeast"/>
              <w:ind w:left="0" w:right="0"/>
              <w:rPr>
                <w:rStyle w:val="8"/>
                <w:rFonts w:ascii="宋体" w:hAnsi="宋体"/>
                <w:b/>
                <w:bCs/>
                <w:iCs/>
                <w:sz w:val="24"/>
              </w:rPr>
            </w:pPr>
            <w:r>
              <w:rPr>
                <w:rStyle w:val="8"/>
                <w:rFonts w:ascii="宋体" w:hAnsi="宋体"/>
                <w:b/>
                <w:bCs/>
                <w:iCs/>
                <w:sz w:val="24"/>
              </w:rPr>
              <w:t>时间</w:t>
            </w:r>
          </w:p>
        </w:tc>
        <w:tc>
          <w:tcPr>
            <w:tcW w:w="626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480" w:lineRule="atLeast"/>
              <w:ind w:left="0" w:right="0"/>
              <w:rPr>
                <w:rStyle w:val="8"/>
                <w:rFonts w:ascii="宋体" w:hAnsi="宋体"/>
                <w:bCs/>
                <w:iCs/>
                <w:sz w:val="24"/>
              </w:rPr>
            </w:pPr>
            <w:r>
              <w:rPr>
                <w:rStyle w:val="8"/>
                <w:rFonts w:ascii="宋体" w:hAnsi="宋体"/>
                <w:bCs/>
                <w:iCs/>
                <w:sz w:val="24"/>
              </w:rPr>
              <w:t>20</w:t>
            </w:r>
            <w:r>
              <w:rPr>
                <w:rStyle w:val="8"/>
                <w:rFonts w:hint="eastAsia" w:ascii="宋体" w:hAnsi="宋体"/>
                <w:bCs/>
                <w:iCs/>
                <w:sz w:val="24"/>
              </w:rPr>
              <w:t>21</w:t>
            </w:r>
            <w:r>
              <w:rPr>
                <w:rStyle w:val="8"/>
                <w:rFonts w:ascii="宋体" w:hAnsi="宋体"/>
                <w:bCs/>
                <w:iCs/>
                <w:sz w:val="24"/>
              </w:rPr>
              <w:t>年</w:t>
            </w:r>
            <w:r>
              <w:rPr>
                <w:rStyle w:val="8"/>
                <w:rFonts w:hint="eastAsia" w:ascii="宋体" w:hAnsi="宋体"/>
                <w:bCs/>
                <w:iCs/>
                <w:sz w:val="24"/>
              </w:rPr>
              <w:t>12</w:t>
            </w:r>
            <w:r>
              <w:rPr>
                <w:rStyle w:val="8"/>
                <w:rFonts w:ascii="宋体" w:hAnsi="宋体"/>
                <w:bCs/>
                <w:iCs/>
                <w:sz w:val="24"/>
              </w:rPr>
              <w:t>月</w:t>
            </w:r>
            <w:r>
              <w:rPr>
                <w:rStyle w:val="8"/>
                <w:rFonts w:hint="eastAsia" w:ascii="宋体" w:hAnsi="宋体"/>
                <w:bCs/>
                <w:iCs/>
                <w:sz w:val="24"/>
                <w:lang w:val="en-US" w:eastAsia="zh-CN"/>
              </w:rPr>
              <w:t>2</w:t>
            </w:r>
            <w:r>
              <w:rPr>
                <w:rStyle w:val="8"/>
                <w:rFonts w:hint="eastAsia" w:ascii="宋体" w:hAnsi="宋体"/>
                <w:bCs/>
                <w:iCs/>
                <w:sz w:val="24"/>
              </w:rPr>
              <w:t>1</w:t>
            </w:r>
            <w:r>
              <w:rPr>
                <w:rStyle w:val="8"/>
                <w:rFonts w:ascii="宋体" w:hAnsi="宋体"/>
                <w:bCs/>
                <w:iCs/>
                <w:sz w:val="24"/>
              </w:rPr>
              <w:t>日</w:t>
            </w:r>
            <w:r>
              <w:rPr>
                <w:rStyle w:val="8"/>
                <w:rFonts w:hint="eastAsia" w:ascii="宋体" w:hAnsi="宋体"/>
                <w:bCs/>
                <w:iCs/>
                <w:sz w:val="24"/>
              </w:rPr>
              <w:t>下午1</w:t>
            </w:r>
            <w:r>
              <w:rPr>
                <w:rStyle w:val="8"/>
                <w:rFonts w:hint="eastAsia" w:ascii="宋体" w:hAnsi="宋体"/>
                <w:bCs/>
                <w:iCs/>
                <w:sz w:val="24"/>
                <w:lang w:val="en-US" w:eastAsia="zh-CN"/>
              </w:rPr>
              <w:t>5</w:t>
            </w:r>
            <w:r>
              <w:rPr>
                <w:rStyle w:val="8"/>
                <w:rFonts w:hint="eastAsia" w:ascii="宋体" w:hAnsi="宋体"/>
                <w:bCs/>
                <w:iCs/>
                <w:sz w:val="24"/>
              </w:rPr>
              <w:t>:</w:t>
            </w:r>
            <w:r>
              <w:rPr>
                <w:rStyle w:val="8"/>
                <w:rFonts w:hint="eastAsia" w:ascii="宋体" w:hAnsi="宋体"/>
                <w:bCs/>
                <w:iCs/>
                <w:sz w:val="24"/>
                <w:lang w:val="en-US" w:eastAsia="zh-CN"/>
              </w:rPr>
              <w:t>0</w:t>
            </w:r>
            <w:r>
              <w:rPr>
                <w:rStyle w:val="8"/>
                <w:rFonts w:hint="eastAsia" w:ascii="宋体" w:hAnsi="宋体"/>
                <w:bCs/>
                <w:iCs/>
                <w:sz w:val="24"/>
              </w:rPr>
              <w:t>0-1</w:t>
            </w:r>
            <w:r>
              <w:rPr>
                <w:rStyle w:val="8"/>
                <w:rFonts w:hint="eastAsia" w:ascii="宋体" w:hAnsi="宋体"/>
                <w:bCs/>
                <w:iCs/>
                <w:sz w:val="24"/>
                <w:lang w:val="en-US" w:eastAsia="zh-CN"/>
              </w:rPr>
              <w:t>6</w:t>
            </w:r>
            <w:r>
              <w:rPr>
                <w:rStyle w:val="8"/>
                <w:rFonts w:hint="eastAsia" w:ascii="宋体" w:hAnsi="宋体"/>
                <w:bCs/>
                <w:iCs/>
                <w:sz w:val="24"/>
              </w:rPr>
              <w:t>:</w:t>
            </w:r>
            <w:r>
              <w:rPr>
                <w:rStyle w:val="8"/>
                <w:rFonts w:hint="eastAsia" w:ascii="宋体" w:hAnsi="宋体"/>
                <w:bCs/>
                <w:iCs/>
                <w:sz w:val="24"/>
                <w:lang w:val="en-US" w:eastAsia="zh-CN"/>
              </w:rPr>
              <w:t>3</w:t>
            </w:r>
            <w:r>
              <w:rPr>
                <w:rStyle w:val="8"/>
                <w:rFonts w:hint="eastAsia" w:ascii="宋体" w:hAnsi="宋体"/>
                <w:bCs/>
                <w:iCs/>
                <w:sz w:val="24"/>
              </w:rPr>
              <w:t>0（现场会议）</w:t>
            </w:r>
          </w:p>
          <w:p>
            <w:pPr>
              <w:keepNext w:val="0"/>
              <w:keepLines w:val="0"/>
              <w:widowControl/>
              <w:suppressLineNumbers w:val="0"/>
              <w:spacing w:before="0" w:beforeAutospacing="0" w:after="0" w:afterAutospacing="0" w:line="480" w:lineRule="atLeast"/>
              <w:ind w:left="0" w:right="0"/>
              <w:rPr>
                <w:rStyle w:val="8"/>
                <w:rFonts w:ascii="宋体" w:hAnsi="宋体"/>
                <w:bCs/>
                <w:iCs/>
                <w:sz w:val="24"/>
              </w:rPr>
            </w:pPr>
            <w:r>
              <w:rPr>
                <w:rStyle w:val="8"/>
                <w:rFonts w:ascii="宋体" w:hAnsi="宋体"/>
                <w:bCs/>
                <w:iCs/>
                <w:sz w:val="24"/>
              </w:rPr>
              <w:t>20</w:t>
            </w:r>
            <w:r>
              <w:rPr>
                <w:rStyle w:val="8"/>
                <w:rFonts w:hint="eastAsia" w:ascii="宋体" w:hAnsi="宋体"/>
                <w:bCs/>
                <w:iCs/>
                <w:sz w:val="24"/>
              </w:rPr>
              <w:t>21</w:t>
            </w:r>
            <w:r>
              <w:rPr>
                <w:rStyle w:val="8"/>
                <w:rFonts w:ascii="宋体" w:hAnsi="宋体"/>
                <w:bCs/>
                <w:iCs/>
                <w:sz w:val="24"/>
              </w:rPr>
              <w:t>年</w:t>
            </w:r>
            <w:r>
              <w:rPr>
                <w:rStyle w:val="8"/>
                <w:rFonts w:hint="eastAsia" w:ascii="宋体" w:hAnsi="宋体"/>
                <w:bCs/>
                <w:iCs/>
                <w:sz w:val="24"/>
              </w:rPr>
              <w:t>12</w:t>
            </w:r>
            <w:r>
              <w:rPr>
                <w:rStyle w:val="8"/>
                <w:rFonts w:ascii="宋体" w:hAnsi="宋体"/>
                <w:bCs/>
                <w:iCs/>
                <w:sz w:val="24"/>
              </w:rPr>
              <w:t>月</w:t>
            </w:r>
            <w:r>
              <w:rPr>
                <w:rStyle w:val="8"/>
                <w:rFonts w:hint="eastAsia" w:ascii="宋体" w:hAnsi="宋体"/>
                <w:bCs/>
                <w:iCs/>
                <w:sz w:val="24"/>
                <w:lang w:val="en-US" w:eastAsia="zh-CN"/>
              </w:rPr>
              <w:t>22</w:t>
            </w:r>
            <w:r>
              <w:rPr>
                <w:rStyle w:val="8"/>
                <w:rFonts w:ascii="宋体" w:hAnsi="宋体"/>
                <w:bCs/>
                <w:iCs/>
                <w:sz w:val="24"/>
              </w:rPr>
              <w:t>日</w:t>
            </w:r>
            <w:r>
              <w:rPr>
                <w:rStyle w:val="8"/>
                <w:rFonts w:hint="eastAsia" w:ascii="宋体" w:hAnsi="宋体"/>
                <w:bCs/>
                <w:iCs/>
                <w:sz w:val="24"/>
              </w:rPr>
              <w:t>下午15:</w:t>
            </w:r>
            <w:r>
              <w:rPr>
                <w:rStyle w:val="8"/>
                <w:rFonts w:hint="eastAsia" w:ascii="宋体" w:hAnsi="宋体"/>
                <w:bCs/>
                <w:iCs/>
                <w:sz w:val="24"/>
                <w:lang w:val="en-US" w:eastAsia="zh-CN"/>
              </w:rPr>
              <w:t>3</w:t>
            </w:r>
            <w:r>
              <w:rPr>
                <w:rStyle w:val="8"/>
                <w:rFonts w:hint="eastAsia" w:ascii="宋体" w:hAnsi="宋体"/>
                <w:bCs/>
                <w:iCs/>
                <w:sz w:val="24"/>
              </w:rPr>
              <w:t>0-16:</w:t>
            </w:r>
            <w:r>
              <w:rPr>
                <w:rStyle w:val="8"/>
                <w:rFonts w:hint="eastAsia" w:ascii="宋体" w:hAnsi="宋体"/>
                <w:bCs/>
                <w:iCs/>
                <w:sz w:val="24"/>
                <w:lang w:val="en-US" w:eastAsia="zh-CN"/>
              </w:rPr>
              <w:t>3</w:t>
            </w:r>
            <w:r>
              <w:rPr>
                <w:rStyle w:val="8"/>
                <w:rFonts w:hint="eastAsia" w:ascii="宋体" w:hAnsi="宋体"/>
                <w:bCs/>
                <w:iCs/>
                <w:sz w:val="24"/>
              </w:rPr>
              <w:t>0（电话会议）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766"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480" w:lineRule="atLeast"/>
              <w:ind w:left="0" w:right="0"/>
              <w:rPr>
                <w:rStyle w:val="8"/>
                <w:rFonts w:ascii="宋体" w:hAnsi="宋体"/>
                <w:b/>
                <w:bCs/>
                <w:iCs/>
                <w:sz w:val="24"/>
              </w:rPr>
            </w:pPr>
            <w:r>
              <w:rPr>
                <w:rStyle w:val="8"/>
                <w:rFonts w:ascii="宋体" w:hAnsi="宋体"/>
                <w:b/>
                <w:bCs/>
                <w:iCs/>
                <w:sz w:val="24"/>
              </w:rPr>
              <w:t>地点</w:t>
            </w:r>
          </w:p>
        </w:tc>
        <w:tc>
          <w:tcPr>
            <w:tcW w:w="626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480" w:lineRule="atLeast"/>
              <w:ind w:left="0" w:right="0"/>
              <w:rPr>
                <w:rStyle w:val="8"/>
                <w:rFonts w:ascii="宋体" w:hAnsi="宋体"/>
                <w:bCs/>
                <w:iCs/>
                <w:sz w:val="24"/>
              </w:rPr>
            </w:pPr>
            <w:r>
              <w:rPr>
                <w:rStyle w:val="8"/>
                <w:rFonts w:ascii="宋体" w:hAnsi="宋体"/>
                <w:bCs/>
                <w:iCs/>
                <w:sz w:val="24"/>
              </w:rPr>
              <w:t>浙江仙琚制药股份有限公司会议室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766"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480" w:lineRule="atLeast"/>
              <w:ind w:left="0" w:right="0"/>
              <w:rPr>
                <w:rStyle w:val="8"/>
                <w:rFonts w:ascii="宋体" w:hAnsi="宋体"/>
                <w:b/>
                <w:bCs/>
                <w:iCs/>
                <w:sz w:val="24"/>
              </w:rPr>
            </w:pPr>
            <w:r>
              <w:rPr>
                <w:rStyle w:val="8"/>
                <w:rFonts w:ascii="宋体" w:hAnsi="宋体"/>
                <w:b/>
                <w:bCs/>
                <w:iCs/>
                <w:sz w:val="24"/>
              </w:rPr>
              <w:t>上市公司接待人员姓名</w:t>
            </w:r>
          </w:p>
        </w:tc>
        <w:tc>
          <w:tcPr>
            <w:tcW w:w="626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480" w:lineRule="atLeast"/>
              <w:ind w:left="0" w:right="0"/>
              <w:rPr>
                <w:rStyle w:val="8"/>
                <w:rFonts w:ascii="宋体" w:hAnsi="宋体"/>
                <w:bCs/>
                <w:iCs/>
                <w:sz w:val="24"/>
              </w:rPr>
            </w:pPr>
            <w:r>
              <w:rPr>
                <w:rStyle w:val="8"/>
                <w:rFonts w:ascii="宋体" w:hAnsi="宋体"/>
                <w:bCs/>
                <w:iCs/>
                <w:sz w:val="24"/>
              </w:rPr>
              <w:t>董事会秘书    张王伟</w:t>
            </w:r>
          </w:p>
          <w:p>
            <w:pPr>
              <w:keepNext w:val="0"/>
              <w:keepLines w:val="0"/>
              <w:widowControl/>
              <w:suppressLineNumbers w:val="0"/>
              <w:spacing w:before="0" w:beforeAutospacing="0" w:after="0" w:afterAutospacing="0" w:line="480" w:lineRule="atLeast"/>
              <w:ind w:left="0" w:right="0"/>
              <w:rPr>
                <w:rStyle w:val="8"/>
                <w:rFonts w:ascii="宋体" w:hAnsi="宋体"/>
                <w:bCs/>
                <w:iCs/>
                <w:sz w:val="24"/>
              </w:rPr>
            </w:pPr>
            <w:r>
              <w:rPr>
                <w:rStyle w:val="8"/>
                <w:rFonts w:ascii="宋体" w:hAnsi="宋体"/>
                <w:bCs/>
                <w:iCs/>
                <w:sz w:val="24"/>
              </w:rPr>
              <w:t xml:space="preserve">证券事务代表  </w:t>
            </w:r>
            <w:r>
              <w:rPr>
                <w:rStyle w:val="8"/>
                <w:rFonts w:hint="eastAsia" w:ascii="宋体" w:hAnsi="宋体"/>
                <w:bCs/>
                <w:iCs/>
                <w:sz w:val="24"/>
              </w:rPr>
              <w:t>沈旭红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atLeast"/>
              <w:ind w:left="0" w:right="0"/>
              <w:rPr>
                <w:rStyle w:val="8"/>
                <w:rFonts w:ascii="宋体" w:hAnsi="宋体"/>
                <w:b/>
                <w:bCs/>
                <w:iCs/>
                <w:sz w:val="24"/>
              </w:rPr>
            </w:pPr>
            <w:r>
              <w:rPr>
                <w:rStyle w:val="8"/>
                <w:rFonts w:ascii="宋体" w:hAnsi="宋体"/>
                <w:b/>
                <w:bCs/>
                <w:iCs/>
                <w:sz w:val="24"/>
              </w:rPr>
              <w:t>投资者关系活动主要内容介绍</w:t>
            </w:r>
          </w:p>
          <w:p>
            <w:pPr>
              <w:keepNext w:val="0"/>
              <w:keepLines w:val="0"/>
              <w:widowControl/>
              <w:suppressLineNumbers w:val="0"/>
              <w:spacing w:before="0" w:beforeAutospacing="0" w:after="0" w:afterAutospacing="0" w:line="480" w:lineRule="atLeast"/>
              <w:ind w:left="0" w:right="0"/>
              <w:rPr>
                <w:rStyle w:val="8"/>
                <w:rFonts w:ascii="宋体" w:hAnsi="宋体"/>
                <w:b/>
                <w:bCs/>
                <w:iCs/>
                <w:sz w:val="24"/>
              </w:rPr>
            </w:pPr>
          </w:p>
        </w:tc>
        <w:tc>
          <w:tcPr>
            <w:tcW w:w="6261" w:type="dxa"/>
            <w:tcBorders>
              <w:top w:val="single" w:color="000000" w:sz="4" w:space="0"/>
              <w:left w:val="single" w:color="000000" w:sz="4" w:space="0"/>
              <w:bottom w:val="single" w:color="000000" w:sz="4" w:space="0"/>
              <w:right w:val="single" w:color="000000" w:sz="4" w:space="0"/>
            </w:tcBorders>
          </w:tcPr>
          <w:p>
            <w:pPr>
              <w:keepNext w:val="0"/>
              <w:keepLines w:val="0"/>
              <w:widowControl/>
              <w:numPr>
                <w:ilvl w:val="0"/>
                <w:numId w:val="0"/>
              </w:numPr>
              <w:suppressLineNumbers w:val="0"/>
              <w:spacing w:before="0" w:beforeAutospacing="0" w:after="0" w:afterAutospacing="0" w:line="360" w:lineRule="auto"/>
              <w:ind w:left="0" w:right="0"/>
              <w:jc w:val="left"/>
              <w:rPr>
                <w:rStyle w:val="8"/>
                <w:rFonts w:hint="default" w:ascii="宋体" w:hAnsi="宋体"/>
                <w:b/>
                <w:bCs w:val="0"/>
                <w:sz w:val="24"/>
                <w:szCs w:val="22"/>
                <w:highlight w:val="none"/>
                <w:lang w:val="en-US" w:eastAsia="zh-CN"/>
              </w:rPr>
            </w:pPr>
            <w:r>
              <w:rPr>
                <w:rStyle w:val="8"/>
                <w:rFonts w:hint="eastAsia" w:ascii="宋体" w:hAnsi="宋体"/>
                <w:b/>
                <w:bCs w:val="0"/>
                <w:sz w:val="24"/>
                <w:szCs w:val="22"/>
                <w:highlight w:val="none"/>
                <w:lang w:val="en-US" w:eastAsia="zh-CN"/>
              </w:rPr>
              <w:t>1、甾体药物的行业特点</w:t>
            </w:r>
          </w:p>
          <w:p>
            <w:pPr>
              <w:keepNext w:val="0"/>
              <w:keepLines w:val="0"/>
              <w:widowControl/>
              <w:numPr>
                <w:ilvl w:val="0"/>
                <w:numId w:val="0"/>
              </w:numPr>
              <w:suppressLineNumbers w:val="0"/>
              <w:spacing w:before="0" w:beforeAutospacing="0" w:after="0" w:afterAutospacing="0" w:line="360" w:lineRule="auto"/>
              <w:ind w:left="0" w:right="0" w:firstLine="480" w:firstLineChars="200"/>
              <w:jc w:val="left"/>
              <w:rPr>
                <w:rStyle w:val="8"/>
                <w:rFonts w:hint="eastAsia" w:ascii="宋体" w:hAnsi="宋体"/>
                <w:b w:val="0"/>
                <w:bCs/>
                <w:sz w:val="24"/>
                <w:szCs w:val="22"/>
                <w:highlight w:val="none"/>
                <w:lang w:val="zh-CN" w:eastAsia="zh-CN"/>
              </w:rPr>
            </w:pPr>
            <w:r>
              <w:rPr>
                <w:rStyle w:val="8"/>
                <w:rFonts w:hint="eastAsia" w:ascii="宋体" w:hAnsi="宋体"/>
                <w:b w:val="0"/>
                <w:bCs/>
                <w:sz w:val="24"/>
                <w:szCs w:val="22"/>
                <w:highlight w:val="none"/>
                <w:lang w:val="zh-CN" w:eastAsia="zh-CN"/>
              </w:rPr>
              <w:t>甾体药物是人体内源性药物，对维持人体健康有着不可替代的作用，具有很强的抗感染、抗过敏、抗病毒和抗休克的药理作用，能够改善蛋白质代谢、恢复和增强体力。甾体激素类药物品种非常丰富，仅人体内天然存在的甾体激素就达到几十种，主要包括孕激素、雌激素、雄激素、糖皮质激素和盐皮质激素等。此外，为了达到更好的治疗效果和更低的副反应，科研人员还会在天然激素的基础上对其侧链加以修饰，衍生出更多的甾体药物衍生物。</w:t>
            </w:r>
          </w:p>
          <w:p>
            <w:pPr>
              <w:keepNext w:val="0"/>
              <w:keepLines w:val="0"/>
              <w:widowControl/>
              <w:numPr>
                <w:ilvl w:val="0"/>
                <w:numId w:val="0"/>
              </w:numPr>
              <w:suppressLineNumbers w:val="0"/>
              <w:spacing w:before="0" w:beforeAutospacing="0" w:after="0" w:afterAutospacing="0" w:line="360" w:lineRule="auto"/>
              <w:ind w:left="0" w:right="0" w:firstLine="480" w:firstLineChars="200"/>
              <w:jc w:val="left"/>
              <w:rPr>
                <w:rStyle w:val="8"/>
                <w:rFonts w:hint="default" w:ascii="宋体" w:hAnsi="宋体"/>
                <w:b w:val="0"/>
                <w:bCs/>
                <w:sz w:val="24"/>
                <w:szCs w:val="22"/>
                <w:highlight w:val="none"/>
                <w:lang w:val="en-US" w:eastAsia="zh-CN"/>
              </w:rPr>
            </w:pPr>
            <w:r>
              <w:rPr>
                <w:rStyle w:val="8"/>
                <w:rFonts w:hint="eastAsia" w:ascii="宋体" w:hAnsi="宋体"/>
                <w:b w:val="0"/>
                <w:bCs/>
                <w:sz w:val="24"/>
                <w:szCs w:val="22"/>
                <w:highlight w:val="none"/>
                <w:lang w:val="zh-CN" w:eastAsia="zh-CN"/>
              </w:rPr>
              <w:t>甾体激素在人体内发挥着不可替代的生理作用，目前甾体激素类药物在全球范围内均广泛应用。</w:t>
            </w:r>
            <w:r>
              <w:rPr>
                <w:rStyle w:val="8"/>
                <w:rFonts w:hint="eastAsia" w:ascii="宋体" w:hAnsi="宋体"/>
                <w:b w:val="0"/>
                <w:bCs/>
                <w:sz w:val="24"/>
                <w:szCs w:val="22"/>
                <w:highlight w:val="none"/>
                <w:lang w:val="en-US" w:eastAsia="zh-CN"/>
              </w:rPr>
              <w:t>全球范围内的甾体药物的市场容量大，厂家主要集中在大型跨国制药公司，例如辉瑞、默克、赛诺菲-安万特、GSK、拜耳、TEVA、Mylan等公司，每家公司也各具特点，分别在皮质激素抗炎、呼吸、雌激素补充、短效避孕等某类治疗领域各具特色。甾体激素原料药全球转移和制剂进口替代趋势尚处于成长期。</w:t>
            </w:r>
          </w:p>
          <w:p>
            <w:pPr>
              <w:keepNext w:val="0"/>
              <w:keepLines w:val="0"/>
              <w:widowControl/>
              <w:suppressLineNumbers w:val="0"/>
              <w:spacing w:before="0" w:beforeAutospacing="0" w:after="0" w:afterAutospacing="0" w:line="480" w:lineRule="atLeast"/>
              <w:ind w:left="0" w:right="0" w:firstLine="480" w:firstLineChars="200"/>
              <w:rPr>
                <w:rStyle w:val="8"/>
                <w:rFonts w:hint="eastAsia" w:ascii="宋体" w:hAnsi="宋体"/>
                <w:b w:val="0"/>
                <w:bCs/>
                <w:sz w:val="24"/>
                <w:szCs w:val="22"/>
                <w:highlight w:val="none"/>
                <w:lang w:val="en-US" w:eastAsia="zh-CN"/>
              </w:rPr>
            </w:pPr>
            <w:r>
              <w:rPr>
                <w:rStyle w:val="8"/>
                <w:rFonts w:hint="eastAsia" w:ascii="宋体" w:hAnsi="宋体"/>
                <w:b w:val="0"/>
                <w:bCs/>
                <w:sz w:val="24"/>
                <w:szCs w:val="22"/>
                <w:highlight w:val="none"/>
                <w:lang w:val="en-US" w:eastAsia="zh-CN"/>
              </w:rPr>
              <w:t>仙琚制药专注甾体领域，依托现有杨府原料药新厂区、台州仙琚厂区在皮质激素系列、性激素系列、孕激素系列、非激素系列四个系列中目前均具备良好的产品、产能和技术基础，台州仙琚厂区自2017年通过FDA认证已逐步进入利润的快速释放期；意大利Newchem厂区主要发展激素高端衍生物。</w:t>
            </w:r>
          </w:p>
          <w:p>
            <w:pPr>
              <w:keepNext w:val="0"/>
              <w:keepLines w:val="0"/>
              <w:widowControl/>
              <w:suppressLineNumbers w:val="0"/>
              <w:spacing w:before="0" w:beforeAutospacing="0" w:after="0" w:afterAutospacing="0" w:line="480" w:lineRule="atLeast"/>
              <w:ind w:left="0" w:right="0" w:firstLine="480" w:firstLineChars="200"/>
              <w:rPr>
                <w:rStyle w:val="8"/>
                <w:rFonts w:hint="eastAsia" w:ascii="宋体" w:hAnsi="宋体"/>
                <w:b w:val="0"/>
                <w:bCs/>
                <w:sz w:val="24"/>
                <w:szCs w:val="22"/>
                <w:highlight w:val="none"/>
                <w:lang w:val="en-US" w:eastAsia="zh-CN"/>
              </w:rPr>
            </w:pPr>
          </w:p>
          <w:p>
            <w:pPr>
              <w:keepNext w:val="0"/>
              <w:keepLines w:val="0"/>
              <w:widowControl/>
              <w:suppressLineNumbers w:val="0"/>
              <w:spacing w:before="0" w:beforeAutospacing="0" w:after="0" w:afterAutospacing="0" w:line="360" w:lineRule="auto"/>
              <w:ind w:left="0" w:right="0" w:firstLine="482" w:firstLineChars="200"/>
              <w:jc w:val="left"/>
              <w:rPr>
                <w:rFonts w:hint="eastAsia" w:ascii="宋体" w:hAnsi="宋体" w:eastAsia="宋体" w:cs="宋体"/>
                <w:b/>
                <w:bCs/>
                <w:iCs/>
                <w:sz w:val="24"/>
                <w:lang w:eastAsia="zh-CN"/>
              </w:rPr>
            </w:pPr>
            <w:r>
              <w:rPr>
                <w:rFonts w:hint="eastAsia" w:ascii="宋体" w:hAnsi="宋体" w:cs="宋体"/>
                <w:b/>
                <w:bCs/>
                <w:iCs/>
                <w:sz w:val="24"/>
              </w:rPr>
              <w:t>2、</w:t>
            </w:r>
            <w:r>
              <w:rPr>
                <w:rFonts w:hint="eastAsia" w:ascii="宋体" w:hAnsi="宋体" w:cs="宋体"/>
                <w:b/>
                <w:bCs/>
                <w:iCs/>
                <w:sz w:val="24"/>
                <w:lang w:eastAsia="zh-CN"/>
              </w:rPr>
              <w:t>国内甾体激素生产厂家情况</w:t>
            </w:r>
          </w:p>
          <w:p>
            <w:pPr>
              <w:keepNext w:val="0"/>
              <w:keepLines w:val="0"/>
              <w:widowControl/>
              <w:suppressLineNumbers w:val="0"/>
              <w:spacing w:before="0" w:beforeAutospacing="0" w:after="0" w:afterAutospacing="0" w:line="480" w:lineRule="atLeast"/>
              <w:ind w:left="0" w:right="0" w:firstLine="480" w:firstLineChars="200"/>
              <w:rPr>
                <w:rStyle w:val="8"/>
                <w:rFonts w:hint="default" w:ascii="宋体" w:hAnsi="宋体"/>
                <w:b w:val="0"/>
                <w:bCs/>
                <w:sz w:val="24"/>
                <w:szCs w:val="22"/>
                <w:highlight w:val="none"/>
                <w:lang w:val="en-US" w:eastAsia="zh-CN"/>
              </w:rPr>
            </w:pPr>
            <w:r>
              <w:rPr>
                <w:rStyle w:val="8"/>
                <w:rFonts w:hint="eastAsia" w:ascii="宋体" w:hAnsi="宋体"/>
                <w:b w:val="0"/>
                <w:bCs/>
                <w:sz w:val="24"/>
                <w:szCs w:val="22"/>
                <w:highlight w:val="none"/>
                <w:lang w:val="en-US" w:eastAsia="zh-CN"/>
              </w:rPr>
              <w:t>仙琚制药目前主要生产、销售的甾体激素类药物品种只有30余种，新品种的开发和向规范市场的升级均存在很大的空间。从国内市场来看，尽管国内拥有一定数量的甾体激素类企业，但大多集中在糖皮质激素领域，主要生产厂家有天药股份、溢多利、河南利华等；性激素领域只有仙琚制药和紫竹药业等几家规划较大的参与者。</w:t>
            </w:r>
          </w:p>
          <w:p>
            <w:pPr>
              <w:keepNext w:val="0"/>
              <w:keepLines w:val="0"/>
              <w:widowControl/>
              <w:suppressLineNumbers w:val="0"/>
              <w:spacing w:before="0" w:beforeAutospacing="0" w:after="0" w:afterAutospacing="0" w:line="360" w:lineRule="auto"/>
              <w:ind w:left="0" w:right="0" w:firstLine="482" w:firstLineChars="200"/>
              <w:jc w:val="left"/>
              <w:rPr>
                <w:rFonts w:hint="eastAsia" w:ascii="宋体" w:hAnsi="宋体" w:cs="宋体"/>
                <w:b/>
                <w:bCs/>
                <w:iCs/>
                <w:sz w:val="24"/>
              </w:rPr>
            </w:pPr>
          </w:p>
          <w:p>
            <w:pPr>
              <w:keepNext w:val="0"/>
              <w:keepLines w:val="0"/>
              <w:widowControl/>
              <w:suppressLineNumbers w:val="0"/>
              <w:autoSpaceDE w:val="0"/>
              <w:autoSpaceDN w:val="0"/>
              <w:adjustRightInd w:val="0"/>
              <w:spacing w:before="0" w:beforeAutospacing="0" w:after="0" w:afterAutospacing="0" w:line="360" w:lineRule="auto"/>
              <w:ind w:left="0" w:right="0" w:firstLine="482" w:firstLineChars="200"/>
              <w:jc w:val="left"/>
              <w:rPr>
                <w:rStyle w:val="8"/>
                <w:rFonts w:ascii="宋体" w:hAnsi="宋体"/>
                <w:b/>
                <w:bCs/>
                <w:iCs/>
                <w:sz w:val="24"/>
                <w:szCs w:val="22"/>
              </w:rPr>
            </w:pPr>
            <w:r>
              <w:rPr>
                <w:rStyle w:val="8"/>
                <w:rFonts w:hint="eastAsia" w:ascii="宋体" w:hAnsi="宋体"/>
                <w:b/>
                <w:bCs/>
                <w:iCs/>
                <w:sz w:val="24"/>
                <w:szCs w:val="22"/>
              </w:rPr>
              <w:t>3、集采对公司未来发展有多大的影响</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ascii="宋体" w:hAnsi="宋体" w:cs="宋体"/>
                <w:iCs/>
                <w:sz w:val="24"/>
                <w:lang w:val="zh-CN"/>
              </w:rPr>
            </w:pPr>
            <w:r>
              <w:rPr>
                <w:rFonts w:hint="eastAsia" w:ascii="宋体" w:hAnsi="宋体" w:cs="宋体"/>
                <w:iCs/>
                <w:sz w:val="24"/>
                <w:lang w:val="zh-CN"/>
              </w:rPr>
              <w:t>公司的产品若纳入集采，主要是麻醉肌松制剂产品的收入端会有影响。顺阿曲库铵集采影响从二季度已经开始体现。公司顺阿曲库铵原料药从原先的单纯自供开始转化为同时对外销售。利润端相对可控。</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ascii="宋体" w:hAnsi="宋体" w:cs="宋体"/>
                <w:iCs/>
                <w:sz w:val="24"/>
                <w:lang w:val="zh-CN"/>
              </w:rPr>
            </w:pPr>
            <w:r>
              <w:rPr>
                <w:rFonts w:hint="eastAsia" w:ascii="宋体" w:hAnsi="宋体" w:cs="宋体"/>
                <w:iCs/>
                <w:sz w:val="24"/>
                <w:lang w:val="zh-CN"/>
              </w:rPr>
              <w:t>盐酸罗哌卡因注射液入围第</w:t>
            </w:r>
            <w:r>
              <w:rPr>
                <w:rFonts w:hint="eastAsia" w:ascii="宋体" w:hAnsi="宋体" w:cs="宋体"/>
                <w:iCs/>
                <w:sz w:val="24"/>
              </w:rPr>
              <w:t>5批国家集采，对公司而言是一个很好的机会，</w:t>
            </w:r>
            <w:r>
              <w:rPr>
                <w:rFonts w:hint="eastAsia" w:ascii="宋体" w:hAnsi="宋体" w:cs="宋体"/>
                <w:iCs/>
                <w:sz w:val="24"/>
                <w:lang w:val="zh-CN"/>
              </w:rPr>
              <w:t>销量上体现出大幅提升。</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cs="宋体"/>
                <w:iCs/>
                <w:sz w:val="24"/>
                <w:lang w:val="zh-CN"/>
              </w:rPr>
            </w:pPr>
            <w:r>
              <w:rPr>
                <w:rFonts w:hint="eastAsia" w:ascii="宋体" w:hAnsi="宋体" w:cs="宋体"/>
                <w:iCs/>
                <w:sz w:val="24"/>
                <w:lang w:val="zh-CN"/>
              </w:rPr>
              <w:t>米索前列醇片应用领域小而专，国内生产厂家主要有三家，进入集采也是这三家企业，生产厂家相对固定，用药稳定。</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cs="宋体"/>
                <w:iCs/>
                <w:sz w:val="24"/>
                <w:lang w:val="zh-CN"/>
              </w:rPr>
            </w:pPr>
            <w:r>
              <w:rPr>
                <w:rFonts w:hint="eastAsia" w:ascii="宋体" w:hAnsi="宋体" w:cs="宋体"/>
                <w:iCs/>
                <w:sz w:val="24"/>
                <w:lang w:val="zh-CN"/>
              </w:rPr>
              <w:t>罗库溴铵注射液销售由于受顺阿曲库铵进入集采、舒更葡糖钠（罗库拮抗剂）的推广等多方面因素，今年销售呈现较快的增长状态。预计罗库溴铵注射液在未来进入集采后会出现营业收入和销售费用的同比下降趋势，利润可控。</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cs="宋体"/>
                <w:iCs/>
                <w:sz w:val="24"/>
                <w:lang w:val="zh-CN"/>
              </w:rPr>
            </w:pPr>
            <w:r>
              <w:rPr>
                <w:rFonts w:hint="eastAsia" w:ascii="宋体" w:hAnsi="宋体" w:cs="宋体"/>
                <w:iCs/>
                <w:sz w:val="24"/>
                <w:lang w:val="zh-CN"/>
              </w:rPr>
              <w:t>基于公司的产品具有多品类、小品种的竞争特点，而且有原料药与制剂一体化的优势，集采影响相对中性。公司将努力加快产品开发，丰富产品梯队，持续增强公司竞争力。</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cs="宋体"/>
                <w:iCs/>
                <w:sz w:val="24"/>
                <w:lang w:val="zh-CN"/>
              </w:rPr>
            </w:pPr>
          </w:p>
          <w:p>
            <w:pPr>
              <w:keepNext w:val="0"/>
              <w:keepLines w:val="0"/>
              <w:widowControl/>
              <w:suppressLineNumbers w:val="0"/>
              <w:autoSpaceDE w:val="0"/>
              <w:autoSpaceDN w:val="0"/>
              <w:adjustRightInd w:val="0"/>
              <w:spacing w:before="0" w:beforeAutospacing="0" w:after="0" w:afterAutospacing="0" w:line="360" w:lineRule="auto"/>
              <w:ind w:left="0" w:right="0" w:firstLine="482" w:firstLineChars="200"/>
              <w:jc w:val="left"/>
              <w:rPr>
                <w:rFonts w:ascii="宋体" w:hAnsi="宋体" w:cs="宋体"/>
                <w:b/>
                <w:bCs/>
                <w:iCs/>
                <w:sz w:val="24"/>
              </w:rPr>
            </w:pPr>
            <w:r>
              <w:rPr>
                <w:rFonts w:hint="eastAsia" w:ascii="宋体" w:hAnsi="宋体" w:cs="宋体"/>
                <w:b/>
                <w:bCs/>
                <w:iCs/>
                <w:sz w:val="24"/>
              </w:rPr>
              <w:t>4、Newchem厂区情况</w:t>
            </w:r>
          </w:p>
          <w:p>
            <w:pPr>
              <w:keepNext w:val="0"/>
              <w:keepLines w:val="0"/>
              <w:widowControl/>
              <w:suppressLineNumbers w:val="0"/>
              <w:spacing w:before="0" w:beforeAutospacing="0" w:after="0" w:afterAutospacing="0" w:line="360" w:lineRule="auto"/>
              <w:ind w:left="0" w:right="0" w:firstLine="480"/>
              <w:jc w:val="left"/>
              <w:rPr>
                <w:rStyle w:val="8"/>
                <w:rFonts w:hint="eastAsia" w:ascii="Times New Roman" w:hAnsi="宋体" w:eastAsia="宋体"/>
                <w:bCs/>
                <w:sz w:val="24"/>
                <w:szCs w:val="22"/>
                <w:lang w:eastAsia="zh-CN"/>
              </w:rPr>
            </w:pPr>
            <w:r>
              <w:rPr>
                <w:rStyle w:val="8"/>
                <w:rFonts w:hint="eastAsia" w:hAnsi="宋体"/>
                <w:bCs/>
                <w:sz w:val="24"/>
                <w:szCs w:val="22"/>
              </w:rPr>
              <w:t>意大利Newchem公司拥有两个厂区，</w:t>
            </w:r>
            <w:r>
              <w:rPr>
                <w:rStyle w:val="8"/>
                <w:rFonts w:hint="eastAsia" w:ascii="Times New Roman" w:hAnsi="宋体"/>
                <w:bCs/>
                <w:sz w:val="24"/>
                <w:szCs w:val="22"/>
              </w:rPr>
              <w:t>Newchem公司有62个产品，其中皮质类固醇产品38个，激素类产品8个，前列腺素产品7个，其他激素衍生物9个；目前24个产品具备DMF或CEP文号，在美国、欧盟</w:t>
            </w:r>
            <w:r>
              <w:rPr>
                <w:rStyle w:val="8"/>
                <w:rFonts w:hint="eastAsia" w:ascii="Times New Roman" w:hAnsi="宋体"/>
                <w:bCs/>
                <w:sz w:val="24"/>
                <w:szCs w:val="22"/>
                <w:lang w:eastAsia="zh-CN"/>
              </w:rPr>
              <w:t>、</w:t>
            </w:r>
            <w:r>
              <w:rPr>
                <w:rStyle w:val="8"/>
                <w:rFonts w:hint="eastAsia" w:ascii="Times New Roman" w:hAnsi="宋体"/>
                <w:bCs/>
                <w:sz w:val="24"/>
                <w:szCs w:val="22"/>
              </w:rPr>
              <w:t>日本</w:t>
            </w:r>
            <w:r>
              <w:rPr>
                <w:rStyle w:val="8"/>
                <w:rFonts w:hint="eastAsia" w:ascii="Times New Roman" w:hAnsi="宋体"/>
                <w:bCs/>
                <w:sz w:val="24"/>
                <w:szCs w:val="22"/>
                <w:lang w:eastAsia="zh-CN"/>
              </w:rPr>
              <w:t>、韩国</w:t>
            </w:r>
            <w:r>
              <w:rPr>
                <w:rStyle w:val="8"/>
                <w:rFonts w:hint="eastAsia" w:ascii="Times New Roman" w:hAnsi="宋体"/>
                <w:bCs/>
                <w:sz w:val="24"/>
                <w:szCs w:val="22"/>
              </w:rPr>
              <w:t>规范市场</w:t>
            </w:r>
            <w:r>
              <w:rPr>
                <w:rStyle w:val="8"/>
                <w:rFonts w:hint="eastAsia" w:ascii="Times New Roman" w:hAnsi="宋体"/>
                <w:bCs/>
                <w:sz w:val="24"/>
                <w:szCs w:val="22"/>
                <w:lang w:eastAsia="zh-CN"/>
              </w:rPr>
              <w:t>和南美等市场拥有良好的销售渠道和客户口碑，在全球甾体激素高端原料药领域竞争力突出。</w:t>
            </w:r>
          </w:p>
          <w:p>
            <w:pPr>
              <w:keepNext w:val="0"/>
              <w:keepLines w:val="0"/>
              <w:widowControl/>
              <w:suppressLineNumbers w:val="0"/>
              <w:spacing w:before="0" w:beforeAutospacing="0" w:after="0" w:afterAutospacing="0" w:line="360" w:lineRule="auto"/>
              <w:ind w:left="0" w:right="0" w:firstLine="480"/>
              <w:jc w:val="left"/>
              <w:rPr>
                <w:rStyle w:val="8"/>
                <w:rFonts w:hint="eastAsia" w:ascii="Times New Roman" w:hAnsi="宋体"/>
                <w:bCs/>
                <w:sz w:val="24"/>
                <w:szCs w:val="22"/>
              </w:rPr>
            </w:pPr>
            <w:r>
              <w:rPr>
                <w:rStyle w:val="8"/>
                <w:rFonts w:hint="eastAsia" w:ascii="Times New Roman" w:hAnsi="宋体"/>
                <w:bCs/>
                <w:sz w:val="24"/>
                <w:szCs w:val="22"/>
              </w:rPr>
              <w:t>Newchem的皮质类固醇类产品丙酸氟替卡松、糠酸氟替卡松、氟米松新戊酸酯、甲基泼尼松龙琥珀酸钠等是公司原料药产品的下游高端衍生物，很多特色品种近两年有效拓展了增量市场，所有产品对接国际高端市场。</w:t>
            </w:r>
          </w:p>
          <w:p>
            <w:pPr>
              <w:keepNext w:val="0"/>
              <w:keepLines w:val="0"/>
              <w:widowControl/>
              <w:suppressLineNumbers w:val="0"/>
              <w:spacing w:before="0" w:beforeAutospacing="0" w:after="0" w:afterAutospacing="0" w:line="360" w:lineRule="auto"/>
              <w:ind w:left="0" w:right="0" w:firstLine="480"/>
              <w:jc w:val="left"/>
              <w:rPr>
                <w:rStyle w:val="8"/>
                <w:rFonts w:hint="eastAsia" w:hAnsi="宋体"/>
                <w:bCs/>
                <w:sz w:val="24"/>
                <w:szCs w:val="22"/>
                <w:lang w:eastAsia="zh-CN"/>
              </w:rPr>
            </w:pPr>
            <w:r>
              <w:rPr>
                <w:rStyle w:val="8"/>
                <w:rFonts w:hint="eastAsia" w:hAnsi="宋体"/>
                <w:bCs/>
                <w:sz w:val="24"/>
                <w:szCs w:val="22"/>
              </w:rPr>
              <w:t>Newchem公司</w:t>
            </w:r>
            <w:r>
              <w:rPr>
                <w:rStyle w:val="8"/>
                <w:rFonts w:hint="eastAsia" w:hAnsi="宋体"/>
                <w:bCs/>
                <w:sz w:val="24"/>
                <w:szCs w:val="22"/>
                <w:lang w:eastAsia="zh-CN"/>
              </w:rPr>
              <w:t>近两年在人员、生产线配置上都在稳步跟进，保持收入和利润稳步增长的态势，与国内生产逐步产生协同，对公司原料药产品的开发和销售提供有力的支持。</w:t>
            </w:r>
          </w:p>
          <w:p>
            <w:pPr>
              <w:keepNext w:val="0"/>
              <w:keepLines w:val="0"/>
              <w:widowControl/>
              <w:suppressLineNumbers w:val="0"/>
              <w:spacing w:before="0" w:beforeAutospacing="0" w:after="0" w:afterAutospacing="0" w:line="360" w:lineRule="auto"/>
              <w:ind w:left="0" w:right="0" w:firstLine="480"/>
              <w:jc w:val="left"/>
              <w:rPr>
                <w:rStyle w:val="8"/>
                <w:rFonts w:hint="eastAsia" w:hAnsi="宋体"/>
                <w:bCs/>
                <w:sz w:val="24"/>
                <w:szCs w:val="22"/>
                <w:lang w:eastAsia="zh-CN"/>
              </w:rPr>
            </w:pPr>
          </w:p>
          <w:p>
            <w:pPr>
              <w:keepNext w:val="0"/>
              <w:keepLines w:val="0"/>
              <w:widowControl/>
              <w:suppressLineNumbers w:val="0"/>
              <w:autoSpaceDE w:val="0"/>
              <w:autoSpaceDN w:val="0"/>
              <w:adjustRightInd w:val="0"/>
              <w:spacing w:before="0" w:beforeAutospacing="0" w:after="0" w:afterAutospacing="0" w:line="360" w:lineRule="auto"/>
              <w:ind w:left="0" w:right="0" w:firstLine="482" w:firstLineChars="200"/>
              <w:jc w:val="left"/>
              <w:rPr>
                <w:rFonts w:ascii="宋体" w:hAnsi="宋体" w:cs="宋体"/>
                <w:b/>
                <w:bCs/>
                <w:iCs/>
                <w:sz w:val="24"/>
              </w:rPr>
            </w:pPr>
            <w:r>
              <w:rPr>
                <w:rFonts w:hint="eastAsia" w:ascii="宋体" w:hAnsi="宋体" w:cs="宋体"/>
                <w:b/>
                <w:bCs/>
                <w:iCs/>
                <w:sz w:val="24"/>
              </w:rPr>
              <w:t>5、杨府原料药厂区认证情况</w:t>
            </w:r>
          </w:p>
          <w:p>
            <w:pPr>
              <w:keepNext w:val="0"/>
              <w:keepLines w:val="0"/>
              <w:widowControl/>
              <w:suppressLineNumbers w:val="0"/>
              <w:autoSpaceDE w:val="0"/>
              <w:autoSpaceDN w:val="0"/>
              <w:adjustRightInd w:val="0"/>
              <w:spacing w:before="0" w:beforeAutospacing="0" w:after="0" w:afterAutospacing="0" w:line="360" w:lineRule="auto"/>
              <w:ind w:left="0" w:right="0" w:firstLine="480"/>
              <w:jc w:val="left"/>
              <w:rPr>
                <w:rStyle w:val="8"/>
                <w:rFonts w:ascii="宋体" w:hAnsi="宋体"/>
                <w:bCs/>
                <w:sz w:val="24"/>
                <w:szCs w:val="22"/>
              </w:rPr>
            </w:pPr>
            <w:r>
              <w:rPr>
                <w:rStyle w:val="8"/>
                <w:rFonts w:hint="eastAsia" w:ascii="宋体" w:hAnsi="宋体"/>
                <w:bCs/>
                <w:sz w:val="24"/>
                <w:szCs w:val="22"/>
              </w:rPr>
              <w:t>公司</w:t>
            </w:r>
            <w:r>
              <w:rPr>
                <w:rFonts w:hint="eastAsia" w:ascii="宋体" w:hAnsi="宋体" w:cs="宋体"/>
                <w:iCs/>
                <w:sz w:val="24"/>
              </w:rPr>
              <w:t>杨府</w:t>
            </w:r>
            <w:r>
              <w:rPr>
                <w:rStyle w:val="8"/>
                <w:rFonts w:hint="eastAsia" w:ascii="宋体" w:hAnsi="宋体"/>
                <w:bCs/>
                <w:sz w:val="24"/>
                <w:szCs w:val="22"/>
              </w:rPr>
              <w:t>原料药厂区围绕皮质激素类、孕激素类、性激素类、非激素类的几大品类原料药品种来做。</w:t>
            </w:r>
          </w:p>
          <w:p>
            <w:pPr>
              <w:keepNext w:val="0"/>
              <w:keepLines w:val="0"/>
              <w:widowControl/>
              <w:suppressLineNumbers w:val="0"/>
              <w:autoSpaceDE w:val="0"/>
              <w:autoSpaceDN w:val="0"/>
              <w:adjustRightInd w:val="0"/>
              <w:spacing w:before="0" w:beforeAutospacing="0" w:after="0" w:afterAutospacing="0" w:line="360" w:lineRule="auto"/>
              <w:ind w:left="0" w:right="0" w:firstLine="480"/>
              <w:jc w:val="left"/>
              <w:rPr>
                <w:rFonts w:ascii="宋体" w:hAnsi="宋体" w:cs="宋体"/>
                <w:iCs/>
                <w:sz w:val="24"/>
              </w:rPr>
            </w:pPr>
            <w:r>
              <w:rPr>
                <w:rFonts w:hint="eastAsia" w:ascii="宋体" w:hAnsi="宋体" w:cs="宋体"/>
                <w:iCs/>
                <w:sz w:val="24"/>
              </w:rPr>
              <w:t>今年5月份，杨府原料药厂区部分产品取得了欧</w:t>
            </w:r>
            <w:r>
              <w:rPr>
                <w:rFonts w:hint="eastAsia" w:ascii="宋体" w:hAnsi="宋体" w:cs="宋体"/>
                <w:iCs/>
                <w:sz w:val="24"/>
                <w:lang w:eastAsia="zh-CN"/>
              </w:rPr>
              <w:t>盟</w:t>
            </w:r>
            <w:r>
              <w:rPr>
                <w:rFonts w:hint="default" w:ascii="宋体" w:hAnsi="宋体" w:cs="宋体"/>
                <w:iCs/>
                <w:sz w:val="24"/>
                <w:lang w:val="en-US" w:eastAsia="zh-CN"/>
              </w:rPr>
              <w:t>CEP</w:t>
            </w:r>
            <w:r>
              <w:rPr>
                <w:rFonts w:hint="eastAsia" w:ascii="宋体" w:hAnsi="宋体" w:cs="宋体"/>
                <w:iCs/>
                <w:sz w:val="24"/>
                <w:lang w:val="en-US" w:eastAsia="zh-CN"/>
              </w:rPr>
              <w:t>证书</w:t>
            </w:r>
            <w:r>
              <w:rPr>
                <w:rFonts w:hint="eastAsia" w:ascii="宋体" w:hAnsi="宋体" w:cs="宋体"/>
                <w:iCs/>
                <w:sz w:val="24"/>
              </w:rPr>
              <w:t>。</w:t>
            </w:r>
          </w:p>
          <w:p>
            <w:pPr>
              <w:keepNext w:val="0"/>
              <w:keepLines w:val="0"/>
              <w:widowControl/>
              <w:suppressLineNumbers w:val="0"/>
              <w:autoSpaceDE w:val="0"/>
              <w:autoSpaceDN w:val="0"/>
              <w:adjustRightInd w:val="0"/>
              <w:spacing w:before="0" w:beforeAutospacing="0" w:after="0" w:afterAutospacing="0" w:line="360" w:lineRule="auto"/>
              <w:ind w:left="0" w:right="0" w:firstLine="480"/>
              <w:jc w:val="left"/>
              <w:rPr>
                <w:rFonts w:ascii="宋体" w:hAnsi="宋体" w:cs="宋体"/>
                <w:iCs/>
                <w:sz w:val="24"/>
              </w:rPr>
            </w:pPr>
            <w:r>
              <w:rPr>
                <w:rFonts w:hint="eastAsia" w:ascii="宋体" w:hAnsi="宋体" w:cs="宋体"/>
                <w:iCs/>
                <w:sz w:val="24"/>
              </w:rPr>
              <w:t>今年</w:t>
            </w:r>
            <w:r>
              <w:rPr>
                <w:rFonts w:hint="eastAsia" w:ascii="宋体" w:hAnsi="宋体" w:cs="宋体"/>
                <w:iCs/>
                <w:sz w:val="24"/>
                <w:lang w:val="en-US" w:eastAsia="zh-CN"/>
              </w:rPr>
              <w:t>11</w:t>
            </w:r>
            <w:r>
              <w:rPr>
                <w:rFonts w:hint="eastAsia" w:ascii="宋体" w:hAnsi="宋体" w:cs="宋体"/>
                <w:iCs/>
                <w:sz w:val="24"/>
              </w:rPr>
              <w:t>月份，杨府原料药厂区部分产品</w:t>
            </w:r>
            <w:r>
              <w:rPr>
                <w:rFonts w:hint="eastAsia" w:ascii="宋体" w:hAnsi="宋体" w:cs="宋体"/>
                <w:iCs/>
                <w:sz w:val="24"/>
                <w:lang w:eastAsia="zh-CN"/>
              </w:rPr>
              <w:t>取得了日本</w:t>
            </w:r>
            <w:r>
              <w:rPr>
                <w:rFonts w:hint="eastAsia" w:ascii="宋体" w:hAnsi="宋体" w:cs="宋体"/>
                <w:iCs/>
                <w:sz w:val="24"/>
                <w:lang w:val="en-US" w:eastAsia="zh-CN"/>
              </w:rPr>
              <w:t>GMP证书</w:t>
            </w:r>
            <w:r>
              <w:rPr>
                <w:rFonts w:hint="eastAsia" w:ascii="宋体" w:hAnsi="宋体" w:cs="宋体"/>
                <w:iCs/>
                <w:sz w:val="24"/>
              </w:rPr>
              <w:t>。</w:t>
            </w:r>
          </w:p>
          <w:p>
            <w:pPr>
              <w:keepNext w:val="0"/>
              <w:keepLines w:val="0"/>
              <w:widowControl/>
              <w:suppressLineNumbers w:val="0"/>
              <w:autoSpaceDE w:val="0"/>
              <w:autoSpaceDN w:val="0"/>
              <w:adjustRightInd w:val="0"/>
              <w:spacing w:before="0" w:beforeAutospacing="0" w:after="0" w:afterAutospacing="0" w:line="360" w:lineRule="auto"/>
              <w:ind w:left="0" w:right="0" w:firstLine="480"/>
              <w:jc w:val="left"/>
              <w:rPr>
                <w:rFonts w:ascii="宋体" w:hAnsi="宋体" w:cs="宋体"/>
                <w:iCs/>
                <w:sz w:val="24"/>
              </w:rPr>
            </w:pPr>
            <w:r>
              <w:rPr>
                <w:rFonts w:hint="eastAsia" w:ascii="宋体" w:hAnsi="宋体" w:cs="宋体"/>
                <w:iCs/>
                <w:sz w:val="24"/>
              </w:rPr>
              <w:t>杨府原料药厂区在今年3 、4月份就做好了美国FDA认证迎检的准备工作，疫情的原因，到目前为止还没有接到明确来检查的通知。FDA认证的延期，在一定程度上影响了公司在北美、南美等市场的客户开拓进度。这些市场一部分客户验证批已供货，但是商业规模销售还有待FDA认证的通过。公司随时做好准备迎接美国FDA认证。</w:t>
            </w:r>
          </w:p>
          <w:p>
            <w:pPr>
              <w:keepNext w:val="0"/>
              <w:keepLines w:val="0"/>
              <w:widowControl/>
              <w:suppressLineNumbers w:val="0"/>
              <w:spacing w:before="0" w:beforeAutospacing="0" w:after="0" w:afterAutospacing="0" w:line="480" w:lineRule="atLeast"/>
              <w:ind w:left="0" w:right="0" w:firstLine="480" w:firstLineChars="200"/>
              <w:rPr>
                <w:rFonts w:ascii="宋体" w:hAnsi="宋体"/>
                <w:bCs/>
                <w:iCs/>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atLeast"/>
              <w:ind w:left="0" w:right="0"/>
              <w:rPr>
                <w:rStyle w:val="8"/>
                <w:rFonts w:ascii="宋体" w:hAnsi="宋体"/>
                <w:b/>
                <w:bCs/>
                <w:iCs/>
                <w:sz w:val="24"/>
              </w:rPr>
            </w:pPr>
            <w:r>
              <w:rPr>
                <w:rStyle w:val="8"/>
                <w:rFonts w:ascii="宋体" w:hAnsi="宋体"/>
                <w:b/>
                <w:bCs/>
                <w:iCs/>
                <w:sz w:val="24"/>
              </w:rPr>
              <w:t>附件清单</w:t>
            </w:r>
          </w:p>
          <w:p>
            <w:pPr>
              <w:keepNext w:val="0"/>
              <w:keepLines w:val="0"/>
              <w:widowControl/>
              <w:suppressLineNumbers w:val="0"/>
              <w:spacing w:before="0" w:beforeAutospacing="0" w:after="0" w:afterAutospacing="0" w:line="480" w:lineRule="atLeast"/>
              <w:ind w:left="0" w:right="0"/>
              <w:rPr>
                <w:rStyle w:val="8"/>
                <w:rFonts w:ascii="宋体" w:hAnsi="宋体"/>
                <w:b/>
                <w:bCs/>
                <w:iCs/>
                <w:sz w:val="24"/>
              </w:rPr>
            </w:pPr>
            <w:r>
              <w:rPr>
                <w:rStyle w:val="8"/>
                <w:rFonts w:ascii="宋体" w:hAnsi="宋体"/>
                <w:b/>
                <w:bCs/>
                <w:iCs/>
                <w:sz w:val="24"/>
              </w:rPr>
              <w:t>（如有）</w:t>
            </w:r>
          </w:p>
        </w:tc>
        <w:tc>
          <w:tcPr>
            <w:tcW w:w="626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480" w:lineRule="atLeast"/>
              <w:ind w:left="0" w:right="0"/>
              <w:rPr>
                <w:rStyle w:val="8"/>
                <w:rFonts w:ascii="宋体" w:hAnsi="宋体"/>
                <w:bCs/>
                <w:iCs/>
                <w:sz w:val="24"/>
              </w:rPr>
            </w:pPr>
            <w:r>
              <w:rPr>
                <w:rStyle w:val="8"/>
                <w:rFonts w:ascii="宋体" w:hAnsi="宋体"/>
                <w:bCs/>
                <w:iCs/>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atLeast"/>
              <w:ind w:left="0" w:right="0"/>
              <w:rPr>
                <w:rStyle w:val="8"/>
                <w:rFonts w:ascii="宋体" w:hAnsi="宋体"/>
                <w:b/>
                <w:bCs/>
                <w:iCs/>
                <w:sz w:val="24"/>
              </w:rPr>
            </w:pPr>
            <w:r>
              <w:rPr>
                <w:rStyle w:val="8"/>
                <w:rFonts w:ascii="宋体" w:hAnsi="宋体"/>
                <w:b/>
                <w:bCs/>
                <w:iCs/>
                <w:sz w:val="24"/>
              </w:rPr>
              <w:t>日期</w:t>
            </w:r>
          </w:p>
        </w:tc>
        <w:tc>
          <w:tcPr>
            <w:tcW w:w="626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480" w:lineRule="atLeast"/>
              <w:ind w:left="0" w:right="0"/>
              <w:rPr>
                <w:rStyle w:val="8"/>
                <w:rFonts w:ascii="宋体" w:hAnsi="宋体"/>
                <w:bCs/>
                <w:iCs/>
                <w:sz w:val="24"/>
              </w:rPr>
            </w:pPr>
            <w:r>
              <w:rPr>
                <w:rStyle w:val="8"/>
                <w:rFonts w:ascii="宋体" w:hAnsi="宋体"/>
                <w:bCs/>
                <w:iCs/>
                <w:sz w:val="24"/>
              </w:rPr>
              <w:t>20</w:t>
            </w:r>
            <w:r>
              <w:rPr>
                <w:rStyle w:val="8"/>
                <w:rFonts w:hint="eastAsia" w:ascii="宋体" w:hAnsi="宋体"/>
                <w:bCs/>
                <w:iCs/>
                <w:sz w:val="24"/>
              </w:rPr>
              <w:t>21</w:t>
            </w:r>
            <w:r>
              <w:rPr>
                <w:rStyle w:val="8"/>
                <w:rFonts w:ascii="宋体" w:hAnsi="宋体"/>
                <w:bCs/>
                <w:iCs/>
                <w:sz w:val="24"/>
              </w:rPr>
              <w:t>年</w:t>
            </w:r>
            <w:r>
              <w:rPr>
                <w:rStyle w:val="8"/>
                <w:rFonts w:hint="eastAsia" w:ascii="宋体" w:hAnsi="宋体"/>
                <w:bCs/>
                <w:iCs/>
                <w:sz w:val="24"/>
              </w:rPr>
              <w:t>12</w:t>
            </w:r>
            <w:r>
              <w:rPr>
                <w:rStyle w:val="8"/>
                <w:rFonts w:ascii="宋体" w:hAnsi="宋体"/>
                <w:bCs/>
                <w:iCs/>
                <w:sz w:val="24"/>
              </w:rPr>
              <w:t>月</w:t>
            </w:r>
            <w:r>
              <w:rPr>
                <w:rStyle w:val="8"/>
                <w:rFonts w:hint="eastAsia" w:ascii="宋体" w:hAnsi="宋体"/>
                <w:bCs/>
                <w:iCs/>
                <w:sz w:val="24"/>
                <w:lang w:val="en-US" w:eastAsia="zh-CN"/>
              </w:rPr>
              <w:t>22</w:t>
            </w:r>
            <w:r>
              <w:rPr>
                <w:rStyle w:val="8"/>
                <w:rFonts w:ascii="宋体" w:hAnsi="宋体"/>
                <w:bCs/>
                <w:iCs/>
                <w:sz w:val="24"/>
              </w:rPr>
              <w:t>日</w:t>
            </w:r>
          </w:p>
        </w:tc>
      </w:tr>
    </w:tbl>
    <w:p>
      <w:pPr>
        <w:spacing w:line="360" w:lineRule="auto"/>
        <w:jc w:val="left"/>
        <w:rPr>
          <w:rStyle w:val="8"/>
          <w:rFonts w:ascii="宋体" w:hAnsi="宋体"/>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characterSpacingControl w:val="doNotCompress"/>
  <w:compat>
    <w:balanceSingleByteDoubleByteWidth/>
    <w:doNotLeaveBackslashAlon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D6E67"/>
    <w:rsid w:val="020B461A"/>
    <w:rsid w:val="04914695"/>
    <w:rsid w:val="0EDC43A3"/>
    <w:rsid w:val="108D2888"/>
    <w:rsid w:val="14EA4265"/>
    <w:rsid w:val="1F845AC6"/>
    <w:rsid w:val="1FBA5960"/>
    <w:rsid w:val="22D371F2"/>
    <w:rsid w:val="243B61F5"/>
    <w:rsid w:val="29402DC1"/>
    <w:rsid w:val="2A54313A"/>
    <w:rsid w:val="2E093082"/>
    <w:rsid w:val="2E5172B2"/>
    <w:rsid w:val="38082E33"/>
    <w:rsid w:val="45173EE8"/>
    <w:rsid w:val="4A4C0E65"/>
    <w:rsid w:val="4C9E6A85"/>
    <w:rsid w:val="4D5C00E1"/>
    <w:rsid w:val="53C33CA0"/>
    <w:rsid w:val="5DDF6716"/>
    <w:rsid w:val="64915201"/>
    <w:rsid w:val="660E3E54"/>
    <w:rsid w:val="676A58F9"/>
    <w:rsid w:val="6F9A449D"/>
    <w:rsid w:val="706310C2"/>
    <w:rsid w:val="73E223A7"/>
    <w:rsid w:val="75DC0A8A"/>
    <w:rsid w:val="76022D28"/>
    <w:rsid w:val="76EF1037"/>
    <w:rsid w:val="7F4830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6">
    <w:name w:val="Default Paragraph Font"/>
    <w:qFormat/>
    <w:uiPriority w:val="1"/>
  </w:style>
  <w:style w:type="table" w:default="1" w:styleId="5">
    <w:name w:val="Normal Table"/>
    <w:qFormat/>
    <w:uiPriority w:val="99"/>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CellMar>
        <w:top w:w="0" w:type="dxa"/>
        <w:left w:w="108" w:type="dxa"/>
        <w:bottom w:w="0" w:type="dxa"/>
        <w:right w:w="108" w:type="dxa"/>
      </w:tblCellMar>
    </w:tblPr>
  </w:style>
  <w:style w:type="paragraph" w:styleId="2">
    <w:name w:val="footer"/>
    <w:basedOn w:val="1"/>
    <w:link w:val="16"/>
    <w:qFormat/>
    <w:uiPriority w:val="99"/>
    <w:pPr>
      <w:tabs>
        <w:tab w:val="center" w:pos="4153"/>
        <w:tab w:val="right" w:pos="8306"/>
      </w:tabs>
      <w:snapToGrid w:val="0"/>
      <w:jc w:val="left"/>
    </w:pPr>
    <w:rPr>
      <w:sz w:val="18"/>
      <w:szCs w:val="18"/>
    </w:rPr>
  </w:style>
  <w:style w:type="paragraph" w:styleId="3">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rPr>
  </w:style>
  <w:style w:type="character" w:styleId="7">
    <w:name w:val="Strong"/>
    <w:basedOn w:val="6"/>
    <w:qFormat/>
    <w:uiPriority w:val="0"/>
    <w:rPr>
      <w:b/>
    </w:rPr>
  </w:style>
  <w:style w:type="character" w:customStyle="1" w:styleId="8">
    <w:name w:val="NormalCharacter"/>
    <w:qFormat/>
    <w:uiPriority w:val="0"/>
  </w:style>
  <w:style w:type="table" w:customStyle="1" w:styleId="9">
    <w:name w:val="TableNormal"/>
    <w:qFormat/>
    <w:uiPriority w:val="0"/>
    <w:tblPr>
      <w:tblCellMar>
        <w:top w:w="0" w:type="dxa"/>
        <w:left w:w="0" w:type="dxa"/>
        <w:bottom w:w="0" w:type="dxa"/>
        <w:right w:w="0" w:type="dxa"/>
      </w:tblCellMar>
    </w:tblPr>
  </w:style>
  <w:style w:type="character" w:customStyle="1" w:styleId="10">
    <w:name w:val="UserStyle_0"/>
    <w:link w:val="11"/>
    <w:qFormat/>
    <w:uiPriority w:val="0"/>
    <w:rPr>
      <w:kern w:val="2"/>
      <w:sz w:val="18"/>
      <w:szCs w:val="18"/>
    </w:rPr>
  </w:style>
  <w:style w:type="paragraph" w:customStyle="1" w:styleId="11">
    <w:name w:val="页眉1"/>
    <w:basedOn w:val="1"/>
    <w:link w:val="10"/>
    <w:qFormat/>
    <w:uiPriority w:val="0"/>
    <w:pPr>
      <w:pBdr>
        <w:bottom w:val="single" w:color="000000" w:sz="6" w:space="1"/>
      </w:pBdr>
      <w:tabs>
        <w:tab w:val="center" w:pos="4153"/>
        <w:tab w:val="right" w:pos="8306"/>
      </w:tabs>
      <w:snapToGrid w:val="0"/>
      <w:jc w:val="center"/>
    </w:pPr>
    <w:rPr>
      <w:sz w:val="18"/>
      <w:szCs w:val="18"/>
    </w:rPr>
  </w:style>
  <w:style w:type="character" w:customStyle="1" w:styleId="12">
    <w:name w:val="UserStyle_1"/>
    <w:link w:val="13"/>
    <w:qFormat/>
    <w:uiPriority w:val="0"/>
    <w:rPr>
      <w:kern w:val="2"/>
      <w:sz w:val="18"/>
      <w:szCs w:val="18"/>
    </w:rPr>
  </w:style>
  <w:style w:type="paragraph" w:customStyle="1" w:styleId="13">
    <w:name w:val="页脚1"/>
    <w:basedOn w:val="1"/>
    <w:link w:val="12"/>
    <w:qFormat/>
    <w:uiPriority w:val="0"/>
    <w:pPr>
      <w:tabs>
        <w:tab w:val="center" w:pos="4153"/>
        <w:tab w:val="right" w:pos="8306"/>
      </w:tabs>
      <w:snapToGrid w:val="0"/>
      <w:jc w:val="left"/>
    </w:pPr>
    <w:rPr>
      <w:sz w:val="18"/>
      <w:szCs w:val="18"/>
    </w:rPr>
  </w:style>
  <w:style w:type="paragraph" w:customStyle="1" w:styleId="14">
    <w:name w:val="Acetate"/>
    <w:basedOn w:val="1"/>
    <w:qFormat/>
    <w:uiPriority w:val="0"/>
    <w:rPr>
      <w:sz w:val="18"/>
      <w:szCs w:val="18"/>
    </w:rPr>
  </w:style>
  <w:style w:type="character" w:customStyle="1" w:styleId="15">
    <w:name w:val="页眉 Char"/>
    <w:basedOn w:val="6"/>
    <w:link w:val="3"/>
    <w:qFormat/>
    <w:uiPriority w:val="99"/>
    <w:rPr>
      <w:kern w:val="2"/>
      <w:sz w:val="18"/>
      <w:szCs w:val="18"/>
    </w:rPr>
  </w:style>
  <w:style w:type="character" w:customStyle="1" w:styleId="16">
    <w:name w:val="页脚 Char"/>
    <w:basedOn w:val="6"/>
    <w:link w:val="2"/>
    <w:qFormat/>
    <w:uiPriority w:val="99"/>
    <w:rPr>
      <w:kern w:val="2"/>
      <w:sz w:val="18"/>
      <w:szCs w:val="18"/>
    </w:rPr>
  </w:style>
  <w:style w:type="paragraph" w:styleId="17">
    <w:name w:val="List Paragraph"/>
    <w:basedOn w:val="1"/>
    <w:qFormat/>
    <w:uiPriority w:val="99"/>
    <w:pPr>
      <w:ind w:firstLine="420" w:firstLineChars="200"/>
    </w:p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2763</Words>
  <Characters>2869</Characters>
  <Paragraphs>82</Paragraphs>
  <TotalTime>66</TotalTime>
  <ScaleCrop>false</ScaleCrop>
  <LinksUpToDate>false</LinksUpToDate>
  <CharactersWithSpaces>3053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2019-10-30T07:33:00Z</dcterms:created>
  <dc:creator>XJ-CJ3-21</dc:creator>
  <cp:lastModifiedBy>九日</cp:lastModifiedBy>
  <cp:lastPrinted>2021-12-22T07:19:00Z</cp:lastPrinted>
  <dcterms:modified xsi:type="dcterms:W3CDTF">2021-12-22T09:22:57Z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265E1BC7BE034030B86BE9CFA623428D</vt:lpwstr>
  </property>
</Properties>
</file>